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CA9D0" w14:textId="05EFA730" w:rsidR="003F69C6" w:rsidRDefault="007F6EBD" w:rsidP="007F6EBD">
      <w:pPr>
        <w:jc w:val="center"/>
      </w:pPr>
      <w:bookmarkStart w:id="0" w:name="_GoBack"/>
      <w:bookmarkEnd w:id="0"/>
      <w:r>
        <w:t>Concepts in Distributed Data Management</w:t>
      </w:r>
    </w:p>
    <w:p w14:paraId="12F96DA2" w14:textId="387A52E5" w:rsidR="007F6EBD" w:rsidRDefault="00491DE7" w:rsidP="007F6EBD">
      <w:pPr>
        <w:jc w:val="center"/>
      </w:pPr>
      <w:r>
        <w:t xml:space="preserve">or </w:t>
      </w:r>
      <w:r w:rsidR="007F6EBD">
        <w:t xml:space="preserve">History of </w:t>
      </w:r>
      <w:r w:rsidR="00CE1AA0">
        <w:t>the DICE Group</w:t>
      </w:r>
    </w:p>
    <w:p w14:paraId="16482FEC" w14:textId="77777777" w:rsidR="007F6EBD" w:rsidRDefault="007F6EBD" w:rsidP="007F6EBD">
      <w:pPr>
        <w:jc w:val="center"/>
      </w:pPr>
    </w:p>
    <w:p w14:paraId="6A632CAD" w14:textId="505BCA81" w:rsidR="007F6EBD" w:rsidRDefault="007F6EBD" w:rsidP="007F6EBD">
      <w:pPr>
        <w:jc w:val="center"/>
      </w:pPr>
      <w:r>
        <w:t>Reagan W. Moore</w:t>
      </w:r>
      <w:r w:rsidRPr="007F6EBD">
        <w:rPr>
          <w:vertAlign w:val="superscript"/>
        </w:rPr>
        <w:t>1</w:t>
      </w:r>
      <w:r>
        <w:t>, Arcot Rajasekar</w:t>
      </w:r>
      <w:r w:rsidRPr="007F6EBD">
        <w:rPr>
          <w:vertAlign w:val="superscript"/>
        </w:rPr>
        <w:t>1</w:t>
      </w:r>
      <w:r>
        <w:t>, Michael Wan</w:t>
      </w:r>
      <w:r w:rsidRPr="007F6EBD">
        <w:rPr>
          <w:vertAlign w:val="superscript"/>
        </w:rPr>
        <w:t>3</w:t>
      </w:r>
      <w:r>
        <w:t>, Wayne Schroeder</w:t>
      </w:r>
      <w:r w:rsidRPr="007F6EBD">
        <w:rPr>
          <w:vertAlign w:val="superscript"/>
        </w:rPr>
        <w:t>2</w:t>
      </w:r>
      <w:r>
        <w:t xml:space="preserve">, </w:t>
      </w:r>
      <w:r w:rsidR="00CB1412">
        <w:t>Antoine de Torcy</w:t>
      </w:r>
      <w:r w:rsidR="00CB1412" w:rsidRPr="007F6EBD">
        <w:rPr>
          <w:vertAlign w:val="superscript"/>
        </w:rPr>
        <w:t>1</w:t>
      </w:r>
      <w:r w:rsidR="00CB1412">
        <w:t>, Sheau-Yen Chen</w:t>
      </w:r>
      <w:r w:rsidR="00CB1412" w:rsidRPr="007F6EBD">
        <w:rPr>
          <w:vertAlign w:val="superscript"/>
        </w:rPr>
        <w:t>2</w:t>
      </w:r>
      <w:r w:rsidR="00CB1412">
        <w:t xml:space="preserve">, </w:t>
      </w:r>
      <w:r>
        <w:t>Mike Conway</w:t>
      </w:r>
      <w:r w:rsidRPr="007F6EBD">
        <w:rPr>
          <w:vertAlign w:val="superscript"/>
        </w:rPr>
        <w:t>1</w:t>
      </w:r>
      <w:r>
        <w:t>, Hao Xu</w:t>
      </w:r>
      <w:r w:rsidRPr="007F6EBD">
        <w:rPr>
          <w:vertAlign w:val="superscript"/>
        </w:rPr>
        <w:t>1</w:t>
      </w:r>
    </w:p>
    <w:p w14:paraId="79B5CEAC" w14:textId="0BD96AF7" w:rsidR="007F6EBD" w:rsidRDefault="007F6EBD" w:rsidP="007F6EBD">
      <w:pPr>
        <w:jc w:val="center"/>
      </w:pPr>
      <w:r w:rsidRPr="007F6EBD">
        <w:rPr>
          <w:vertAlign w:val="superscript"/>
        </w:rPr>
        <w:t>1</w:t>
      </w:r>
      <w:r>
        <w:t>University of North Carolina at Chapel Hill,</w:t>
      </w:r>
    </w:p>
    <w:p w14:paraId="2EE93BAE" w14:textId="44A353A8" w:rsidR="007F6EBD" w:rsidRDefault="007F6EBD" w:rsidP="007F6EBD">
      <w:pPr>
        <w:jc w:val="center"/>
      </w:pPr>
      <w:r w:rsidRPr="007F6EBD">
        <w:rPr>
          <w:vertAlign w:val="superscript"/>
        </w:rPr>
        <w:t>2</w:t>
      </w:r>
      <w:r>
        <w:t>University of California, San Diego</w:t>
      </w:r>
    </w:p>
    <w:p w14:paraId="3D7D76FC" w14:textId="6345B4B2" w:rsidR="007F6EBD" w:rsidRDefault="007F6EBD" w:rsidP="007F6EBD">
      <w:pPr>
        <w:jc w:val="center"/>
      </w:pPr>
      <w:r w:rsidRPr="007F6EBD">
        <w:rPr>
          <w:vertAlign w:val="superscript"/>
        </w:rPr>
        <w:t>3</w:t>
      </w:r>
      <w:r>
        <w:t>San Diego, California</w:t>
      </w:r>
    </w:p>
    <w:p w14:paraId="22AB7784" w14:textId="77777777" w:rsidR="00FD2899" w:rsidRDefault="00FD2899"/>
    <w:p w14:paraId="0431EC9B" w14:textId="42BB3858" w:rsidR="007F6EBD" w:rsidRDefault="007F6EBD">
      <w:r>
        <w:t xml:space="preserve">The Data Intensive Computing </w:t>
      </w:r>
      <w:r w:rsidR="00847C0B">
        <w:t>Environments</w:t>
      </w:r>
      <w:r>
        <w:t xml:space="preserve"> group has been developing data grid technology for twenty years.  Two generations of technology were created, the Storage Resource Broker</w:t>
      </w:r>
      <w:r w:rsidR="00677AB5">
        <w:t xml:space="preserve"> - SRB</w:t>
      </w:r>
      <w:r w:rsidR="00D46734">
        <w:t xml:space="preserve"> (1994-</w:t>
      </w:r>
      <w:r w:rsidR="00837813">
        <w:t>2006</w:t>
      </w:r>
      <w:r>
        <w:t>) and the integrated Rule Oriented Data System</w:t>
      </w:r>
      <w:r w:rsidR="00677AB5">
        <w:t xml:space="preserve"> - iRODS</w:t>
      </w:r>
      <w:r>
        <w:t xml:space="preserve"> (</w:t>
      </w:r>
      <w:r w:rsidR="00837813">
        <w:t>2004</w:t>
      </w:r>
      <w:r w:rsidR="00335F74">
        <w:t>-2014).  When developed, b</w:t>
      </w:r>
      <w:r>
        <w:t xml:space="preserve">oth products represented </w:t>
      </w:r>
      <w:r w:rsidR="00837813">
        <w:t>pioneering technology</w:t>
      </w:r>
      <w:r>
        <w:t xml:space="preserve"> in distributed data management and were widely applied</w:t>
      </w:r>
      <w:r w:rsidR="00E927C4">
        <w:t xml:space="preserve"> by communities interested in </w:t>
      </w:r>
      <w:r>
        <w:t>sharing data, publishing data, and preserving data.  Applications included national data grids, national digital libraries, national archives, and international collaborations.  The success of the software was strongly driven by basic concepts that</w:t>
      </w:r>
      <w:r w:rsidR="00335F74">
        <w:t xml:space="preserve"> still</w:t>
      </w:r>
      <w:r>
        <w:t xml:space="preserve"> represent the </w:t>
      </w:r>
      <w:r w:rsidR="00837813">
        <w:t xml:space="preserve">state-of-the-art </w:t>
      </w:r>
      <w:r>
        <w:t xml:space="preserve">for data management systems.  These foundational concepts </w:t>
      </w:r>
      <w:r w:rsidR="00837813">
        <w:t xml:space="preserve">are built upon evolutionary concepts in </w:t>
      </w:r>
      <w:r>
        <w:t>virtualization</w:t>
      </w:r>
      <w:r w:rsidR="00CB1412">
        <w:t xml:space="preserve"> </w:t>
      </w:r>
      <w:r w:rsidR="00837813">
        <w:t xml:space="preserve">and </w:t>
      </w:r>
      <w:r w:rsidR="00AB4F49">
        <w:t xml:space="preserve">the </w:t>
      </w:r>
      <w:r w:rsidR="00837813">
        <w:t>a</w:t>
      </w:r>
      <w:r w:rsidR="00AB4F49">
        <w:t>b</w:t>
      </w:r>
      <w:r w:rsidR="00837813">
        <w:t xml:space="preserve">stractions </w:t>
      </w:r>
      <w:r w:rsidR="00CB1412">
        <w:t>needed to manage data, information, and knowledge.  The concepts included</w:t>
      </w:r>
      <w:r>
        <w:t xml:space="preserve"> policy-based data management, collection life cycle, and federation. The </w:t>
      </w:r>
      <w:r w:rsidR="00837813">
        <w:t>development</w:t>
      </w:r>
      <w:r w:rsidR="00AB4F49">
        <w:t>, evolution,</w:t>
      </w:r>
      <w:r w:rsidR="00837813">
        <w:t xml:space="preserve"> and </w:t>
      </w:r>
      <w:r>
        <w:t>application of these concepts in distributed data management systems is reviewed in this paper.</w:t>
      </w:r>
    </w:p>
    <w:p w14:paraId="211620DC" w14:textId="77777777" w:rsidR="007F6EBD" w:rsidRDefault="007F6EBD"/>
    <w:p w14:paraId="76A36538" w14:textId="2BBBF977" w:rsidR="007F6EBD" w:rsidRPr="00677AB5" w:rsidRDefault="000F5A45">
      <w:pPr>
        <w:rPr>
          <w:b/>
        </w:rPr>
      </w:pPr>
      <w:r>
        <w:rPr>
          <w:b/>
        </w:rPr>
        <w:t xml:space="preserve">I.  </w:t>
      </w:r>
      <w:r w:rsidR="007F6EBD" w:rsidRPr="00677AB5">
        <w:rPr>
          <w:b/>
        </w:rPr>
        <w:t>Introduction:</w:t>
      </w:r>
    </w:p>
    <w:p w14:paraId="0CD08EE4" w14:textId="6DFEEDEC" w:rsidR="00562BBD" w:rsidRDefault="00E9574A">
      <w:r>
        <w:t>The implementation</w:t>
      </w:r>
      <w:r w:rsidR="00562BBD">
        <w:t xml:space="preserve"> of two successful data grid software</w:t>
      </w:r>
      <w:r w:rsidR="00AB4F49">
        <w:t xml:space="preserve"> systems</w:t>
      </w:r>
      <w:r w:rsidR="00562BBD">
        <w:t xml:space="preserve"> – the Storage Resource Broker (SRB) [</w:t>
      </w:r>
      <w:r w:rsidR="00AB4F49">
        <w:t>2</w:t>
      </w:r>
      <w:r w:rsidR="00562BBD">
        <w:t>] and the integrated Rule Oriented Data System (iRODS) [</w:t>
      </w:r>
      <w:r w:rsidR="00AB4F49">
        <w:t>1</w:t>
      </w:r>
      <w:r w:rsidR="00CA5CEB">
        <w:t>3</w:t>
      </w:r>
      <w:r w:rsidR="00562BBD">
        <w:t>]</w:t>
      </w:r>
      <w:r>
        <w:t>, represents an example of a software development life cycle</w:t>
      </w:r>
      <w:r w:rsidR="00562BBD">
        <w:t xml:space="preserve">. </w:t>
      </w:r>
      <w:r w:rsidR="00AB4F49">
        <w:t>User</w:t>
      </w:r>
      <w:r w:rsidR="00562BBD">
        <w:t xml:space="preserve"> requirements from the </w:t>
      </w:r>
      <w:r w:rsidR="00AB4F49">
        <w:t xml:space="preserve">academic </w:t>
      </w:r>
      <w:r w:rsidR="00562BBD">
        <w:t xml:space="preserve">Science community drove the </w:t>
      </w:r>
      <w:r>
        <w:t xml:space="preserve">implementation of data grid technology, and the </w:t>
      </w:r>
      <w:r w:rsidR="00AB4F49">
        <w:t>evolution</w:t>
      </w:r>
      <w:r w:rsidR="00562BBD">
        <w:t xml:space="preserve"> </w:t>
      </w:r>
      <w:r>
        <w:t>data grids from data management to information and knowledge management</w:t>
      </w:r>
      <w:r w:rsidR="00562BBD">
        <w:t xml:space="preserve">.  These systems pioneered significant conceptual ideas and technologies in large-scale data management and indeed added multiple terms to the ever changing vocabulary of  the field. The current emergence of Big Data as a full-fledged field can be traced to some of the concepts </w:t>
      </w:r>
      <w:r w:rsidR="00AB4F49">
        <w:t>implemented</w:t>
      </w:r>
      <w:r w:rsidR="00562BBD">
        <w:t xml:space="preserve"> by these two systems – concepts such as data-intensive computing, infrastructure independence, virtualization and policy-based data management.  The two software</w:t>
      </w:r>
      <w:r w:rsidR="00AB4F49">
        <w:t xml:space="preserve"> system</w:t>
      </w:r>
      <w:r w:rsidR="00562BBD">
        <w:t xml:space="preserve">s were developed by the </w:t>
      </w:r>
      <w:r w:rsidR="007F6EBD">
        <w:t>Data Intensive Computing Environments group (DICE)</w:t>
      </w:r>
      <w:r w:rsidR="00562BBD">
        <w:t xml:space="preserve">, </w:t>
      </w:r>
      <w:r w:rsidR="00AB4F49">
        <w:t>which was started</w:t>
      </w:r>
      <w:r w:rsidR="007F6EBD">
        <w:t xml:space="preserve"> in 1994 </w:t>
      </w:r>
      <w:r w:rsidR="00AB4F49">
        <w:t xml:space="preserve">at </w:t>
      </w:r>
      <w:r w:rsidR="00562BBD">
        <w:t xml:space="preserve">the San Diego  Supercomputer Center (SDSC) </w:t>
      </w:r>
      <w:r w:rsidR="007F6EBD">
        <w:t xml:space="preserve">to pursue the goal of implementing software systems that would enable collaborative research through </w:t>
      </w:r>
      <w:r w:rsidR="00562BBD">
        <w:t xml:space="preserve">large-scale </w:t>
      </w:r>
      <w:r w:rsidR="007F6EBD">
        <w:t xml:space="preserve">sharing of </w:t>
      </w:r>
      <w:r>
        <w:t xml:space="preserve">multi-disciplinary </w:t>
      </w:r>
      <w:r w:rsidR="007F6EBD">
        <w:t xml:space="preserve">data files.  </w:t>
      </w:r>
      <w:r w:rsidR="00562BBD">
        <w:t>In the following we track the history of this development.</w:t>
      </w:r>
    </w:p>
    <w:p w14:paraId="6D660673" w14:textId="77777777" w:rsidR="00562BBD" w:rsidRDefault="00562BBD"/>
    <w:p w14:paraId="25613E2F" w14:textId="3D324C7F" w:rsidR="005A1D1F" w:rsidRDefault="00D46734">
      <w:r>
        <w:t>The</w:t>
      </w:r>
      <w:r w:rsidR="003A3E07">
        <w:t xml:space="preserve"> selection of the</w:t>
      </w:r>
      <w:r w:rsidR="007671B4">
        <w:t xml:space="preserve"> initial </w:t>
      </w:r>
      <w:r w:rsidR="00BF77F9">
        <w:t xml:space="preserve">software development </w:t>
      </w:r>
      <w:r w:rsidR="003A3E07">
        <w:t>goal</w:t>
      </w:r>
      <w:r w:rsidR="007671B4">
        <w:t xml:space="preserve"> was </w:t>
      </w:r>
      <w:r w:rsidR="003A3E07">
        <w:t>based on</w:t>
      </w:r>
      <w:r w:rsidR="007671B4">
        <w:t xml:space="preserve"> observations of research </w:t>
      </w:r>
      <w:r w:rsidR="00491DE7">
        <w:t xml:space="preserve">requirements </w:t>
      </w:r>
      <w:r w:rsidR="00335F74">
        <w:t xml:space="preserve">in </w:t>
      </w:r>
      <w:r w:rsidR="007671B4">
        <w:t>computa</w:t>
      </w:r>
      <w:r w:rsidR="00335F74">
        <w:t>tional plasma physics</w:t>
      </w:r>
      <w:r w:rsidR="007671B4">
        <w:t>, observations of technology management</w:t>
      </w:r>
      <w:r w:rsidR="00335F74">
        <w:t xml:space="preserve"> requirements</w:t>
      </w:r>
      <w:r w:rsidR="007671B4">
        <w:t xml:space="preserve"> within the San Diego Supercomputer Center, </w:t>
      </w:r>
      <w:r w:rsidR="003A3E07">
        <w:t xml:space="preserve">results from </w:t>
      </w:r>
      <w:r w:rsidR="007671B4">
        <w:t xml:space="preserve">a prior collaboration on an Alternative Architecture study for the Earth </w:t>
      </w:r>
      <w:r w:rsidR="007671B4">
        <w:lastRenderedPageBreak/>
        <w:t>Observing System</w:t>
      </w:r>
      <w:r w:rsidR="00335F74">
        <w:t xml:space="preserve"> [1]</w:t>
      </w:r>
      <w:r w:rsidR="00BF77F9">
        <w:t xml:space="preserve">, </w:t>
      </w:r>
      <w:r w:rsidR="00AA062E">
        <w:t xml:space="preserve">and </w:t>
      </w:r>
      <w:r w:rsidR="007671B4">
        <w:t>research in high-performance networking</w:t>
      </w:r>
      <w:r w:rsidR="005A1D1F">
        <w:t xml:space="preserve"> within the CASA Gigabit Network</w:t>
      </w:r>
      <w:r w:rsidR="007671B4">
        <w:t xml:space="preserve"> project</w:t>
      </w:r>
      <w:r w:rsidR="008D11F3">
        <w:t xml:space="preserve"> [2]</w:t>
      </w:r>
      <w:r w:rsidR="00AA062E">
        <w:t>.</w:t>
      </w:r>
      <w:r w:rsidR="00E927C4">
        <w:t xml:space="preserve">  </w:t>
      </w:r>
      <w:r w:rsidR="00AB4F49">
        <w:t>For example, i</w:t>
      </w:r>
      <w:r w:rsidR="005A1D1F">
        <w:t>n computational plasma physics, the</w:t>
      </w:r>
      <w:r w:rsidR="00677AB5">
        <w:t xml:space="preserve"> analysis of the stability of toroidal plasma physics configurations</w:t>
      </w:r>
      <w:r w:rsidR="005A1D1F">
        <w:t xml:space="preserve"> w</w:t>
      </w:r>
      <w:r w:rsidR="00BF77F9">
        <w:t>as being done at institutions on</w:t>
      </w:r>
      <w:r w:rsidR="005A1D1F">
        <w:t xml:space="preserve"> the East and West coasts of the United States in the 1980s.  A collaboration environment was needed to enable researchers to compare stability analyses and independently verify results.  </w:t>
      </w:r>
      <w:r w:rsidR="00CB1412">
        <w:t>This</w:t>
      </w:r>
      <w:r>
        <w:t xml:space="preserve"> required the ability to share input f</w:t>
      </w:r>
      <w:r w:rsidR="00CB1412">
        <w:t>iles, as well as output results, across institutional boundaries.</w:t>
      </w:r>
    </w:p>
    <w:p w14:paraId="4916FF10" w14:textId="77777777" w:rsidR="005A1D1F" w:rsidRDefault="005A1D1F"/>
    <w:p w14:paraId="01572A9D" w14:textId="3EE3F78D" w:rsidR="00677AB5" w:rsidRDefault="005A1D1F">
      <w:r>
        <w:t xml:space="preserve">Within the San Diego Supercomputer center, which started in 1986, technology was replaced every three years to track </w:t>
      </w:r>
      <w:r w:rsidR="00562BBD">
        <w:t xml:space="preserve">and take advantage of </w:t>
      </w:r>
      <w:r>
        <w:t>the emergence of cheaper and higher performance systems.  In particular, by 1994, the third version of an archival storage system had been implemented, using a third generation of tape technology.  A mechanism was needed to simplify migration o</w:t>
      </w:r>
      <w:r w:rsidR="00CB1412">
        <w:t xml:space="preserve">f the archived data between old and new </w:t>
      </w:r>
      <w:r>
        <w:t>systems.</w:t>
      </w:r>
    </w:p>
    <w:p w14:paraId="1243DEE9" w14:textId="77777777" w:rsidR="005A1D1F" w:rsidRDefault="005A1D1F"/>
    <w:p w14:paraId="50CB38CE" w14:textId="4A9A0955" w:rsidR="005A1D1F" w:rsidRDefault="00CB1412">
      <w:r>
        <w:t>T</w:t>
      </w:r>
      <w:r w:rsidR="005A1D1F">
        <w:t xml:space="preserve">he </w:t>
      </w:r>
      <w:r>
        <w:t>Earth Observing System analysis proposed that data products should be</w:t>
      </w:r>
      <w:r w:rsidR="005A1D1F">
        <w:t xml:space="preserve"> organized as a collection, and </w:t>
      </w:r>
      <w:r>
        <w:t xml:space="preserve">that </w:t>
      </w:r>
      <w:r w:rsidR="005A1D1F">
        <w:t>re</w:t>
      </w:r>
      <w:r>
        <w:t>lational database technology</w:t>
      </w:r>
      <w:r w:rsidR="00CE1AA0">
        <w:t xml:space="preserve"> should</w:t>
      </w:r>
      <w:r>
        <w:t xml:space="preserve"> be</w:t>
      </w:r>
      <w:r w:rsidR="005A1D1F">
        <w:t xml:space="preserve"> used to manage the system</w:t>
      </w:r>
      <w:r w:rsidR="00D46734">
        <w:t xml:space="preserve"> state information</w:t>
      </w:r>
      <w:r w:rsidR="005A1D1F">
        <w:t>.  Data replication was proposed between two centers, with data streaming to support proc</w:t>
      </w:r>
      <w:r>
        <w:t xml:space="preserve">essing of the contents.  </w:t>
      </w:r>
    </w:p>
    <w:p w14:paraId="1F4F1E77" w14:textId="77777777" w:rsidR="005A1D1F" w:rsidRDefault="005A1D1F"/>
    <w:p w14:paraId="5EE77996" w14:textId="1264EB9B" w:rsidR="005A1D1F" w:rsidRDefault="005A1D1F">
      <w:r>
        <w:t xml:space="preserve">In the CASA Gigabit Network, theoretical predictions were made of the maximal </w:t>
      </w:r>
      <w:r w:rsidR="00847C0B">
        <w:t>achievable</w:t>
      </w:r>
      <w:r>
        <w:t xml:space="preserve"> performance of a distributed, heterogeneous computational environment.  The concept of superlinear speedup through the federation of heterogeneous computing resources was analyzed, and a practical demonstration </w:t>
      </w:r>
      <w:r w:rsidR="0005738F">
        <w:t xml:space="preserve">was made that </w:t>
      </w:r>
      <w:r w:rsidR="00F11F5D">
        <w:t xml:space="preserve">showed </w:t>
      </w:r>
      <w:r w:rsidR="0005738F">
        <w:t>a speedup of a factor of 3.3 across two supercomputers.  This indicated that management of heterogeneous resources was important for optimizing performance</w:t>
      </w:r>
      <w:r w:rsidR="00D46734">
        <w:t xml:space="preserve"> across distributed systems</w:t>
      </w:r>
      <w:r w:rsidR="0005738F">
        <w:t>.</w:t>
      </w:r>
    </w:p>
    <w:p w14:paraId="125521ED" w14:textId="77777777" w:rsidR="00677AB5" w:rsidRDefault="00677AB5"/>
    <w:p w14:paraId="5C5C85B9" w14:textId="15D3992B" w:rsidR="00FD2899" w:rsidRDefault="007671B4">
      <w:r>
        <w:t>The combination of these prior research efforts pointed to the need for researchers to be able to provid</w:t>
      </w:r>
      <w:r w:rsidR="00573DEB">
        <w:t>e a context for interpreting shared</w:t>
      </w:r>
      <w:r>
        <w:t xml:space="preserve"> data, while managing technology evolution.  The</w:t>
      </w:r>
      <w:r w:rsidR="003A3E07">
        <w:t>se</w:t>
      </w:r>
      <w:r>
        <w:t xml:space="preserve"> requirements for a distri</w:t>
      </w:r>
      <w:r w:rsidR="003A3E07">
        <w:t xml:space="preserve">buted data management system were </w:t>
      </w:r>
      <w:r w:rsidR="00F11F5D">
        <w:t xml:space="preserve">the seeds for the development of the first data grid software - </w:t>
      </w:r>
      <w:r w:rsidR="003A3E07">
        <w:t xml:space="preserve"> </w:t>
      </w:r>
      <w:r w:rsidR="00AB4F49">
        <w:t xml:space="preserve">the </w:t>
      </w:r>
      <w:r w:rsidR="003A3E07">
        <w:t>Storage Resource Broker data grid</w:t>
      </w:r>
      <w:r w:rsidR="00F11F5D">
        <w:t xml:space="preserve"> system</w:t>
      </w:r>
      <w:r w:rsidR="003A3E07">
        <w:t xml:space="preserve">.  </w:t>
      </w:r>
      <w:r w:rsidR="00F11F5D">
        <w:t xml:space="preserve">Its </w:t>
      </w:r>
      <w:r w:rsidR="003A3E07">
        <w:t xml:space="preserve">essential </w:t>
      </w:r>
      <w:r w:rsidR="00847C0B">
        <w:t>capabilities</w:t>
      </w:r>
      <w:r w:rsidR="003A3E07">
        <w:t xml:space="preserve"> included:</w:t>
      </w:r>
    </w:p>
    <w:p w14:paraId="2856E235" w14:textId="77777777" w:rsidR="00BD4402" w:rsidRDefault="00BD4402" w:rsidP="00BD4402">
      <w:pPr>
        <w:pStyle w:val="ListParagraph"/>
        <w:numPr>
          <w:ilvl w:val="0"/>
          <w:numId w:val="2"/>
        </w:numPr>
      </w:pPr>
      <w:r>
        <w:t>Management of data from multiple institutions as a shareable collection through virtualization mechanisms.  This was implemented by managing universal name spaces for files, collections, users, and storage systems independently of the physical storage systems where the objects were stored, and independently of the administrative domains at each institution. Authentication and authorization on the universal user name space was implemented as third-party services, mapping logically named resources into physically located storage systems.</w:t>
      </w:r>
    </w:p>
    <w:p w14:paraId="727D3531" w14:textId="5C6762F8" w:rsidR="00F11F5D" w:rsidRDefault="003A3E07" w:rsidP="003A3E07">
      <w:pPr>
        <w:pStyle w:val="ListParagraph"/>
        <w:numPr>
          <w:ilvl w:val="0"/>
          <w:numId w:val="2"/>
        </w:numPr>
      </w:pPr>
      <w:r>
        <w:t xml:space="preserve">Organization of data </w:t>
      </w:r>
      <w:r w:rsidR="00F11F5D">
        <w:t xml:space="preserve">files </w:t>
      </w:r>
      <w:r>
        <w:t>as a collection</w:t>
      </w:r>
      <w:r w:rsidR="00F11F5D">
        <w:t xml:space="preserve"> – independent</w:t>
      </w:r>
      <w:r w:rsidR="00BD4402">
        <w:t>ly</w:t>
      </w:r>
      <w:r w:rsidR="00F11F5D">
        <w:t xml:space="preserve"> of </w:t>
      </w:r>
      <w:r w:rsidR="00BD4402">
        <w:t>the p</w:t>
      </w:r>
      <w:r w:rsidR="00F11F5D">
        <w:t xml:space="preserve">hysical </w:t>
      </w:r>
      <w:r w:rsidR="00BD4402">
        <w:t xml:space="preserve">characteristics </w:t>
      </w:r>
      <w:r w:rsidR="00F11F5D">
        <w:t>of the data file</w:t>
      </w:r>
      <w:r>
        <w:t xml:space="preserve">. </w:t>
      </w:r>
      <w:r w:rsidR="00F11F5D">
        <w:t xml:space="preserve"> That is, a collection provides a virtual “grouping” of files that might be </w:t>
      </w:r>
      <w:r w:rsidR="00BD4402">
        <w:t>stored o</w:t>
      </w:r>
      <w:r w:rsidR="00F11F5D">
        <w:t xml:space="preserve">n distributed resources of various types, created and owned by </w:t>
      </w:r>
      <w:r>
        <w:t xml:space="preserve"> </w:t>
      </w:r>
      <w:r w:rsidR="00F11F5D">
        <w:t xml:space="preserve">multiple users and groups but having some </w:t>
      </w:r>
      <w:r w:rsidR="00F11F5D">
        <w:lastRenderedPageBreak/>
        <w:t xml:space="preserve">common properties that </w:t>
      </w:r>
      <w:r w:rsidR="00BD4402">
        <w:t xml:space="preserve">warrant </w:t>
      </w:r>
      <w:r w:rsidR="00F11F5D">
        <w:t>bundl</w:t>
      </w:r>
      <w:r w:rsidR="00BD4402">
        <w:t>ing</w:t>
      </w:r>
      <w:r w:rsidR="00F11F5D">
        <w:t xml:space="preserve"> them into the same virtual group. Not all o</w:t>
      </w:r>
      <w:r w:rsidR="00BD4402">
        <w:t>b</w:t>
      </w:r>
      <w:r w:rsidR="00F11F5D">
        <w:t>jects in the collection need to be files, but can</w:t>
      </w:r>
      <w:r w:rsidR="00BD4402">
        <w:t xml:space="preserve"> also</w:t>
      </w:r>
      <w:r w:rsidR="00F11F5D">
        <w:t xml:space="preserve"> be dynamic relational queries,  sensor streams or </w:t>
      </w:r>
      <w:r w:rsidR="00CD0E5C">
        <w:t>self-aggregated/descri</w:t>
      </w:r>
      <w:r w:rsidR="00BD4402">
        <w:t>b</w:t>
      </w:r>
      <w:r w:rsidR="00CD0E5C">
        <w:t xml:space="preserve">ed  objects such as tar files or HDF files. </w:t>
      </w:r>
    </w:p>
    <w:p w14:paraId="6651E5BA" w14:textId="1B7A6770" w:rsidR="003A3E07" w:rsidRDefault="00F11F5D" w:rsidP="003A3E07">
      <w:pPr>
        <w:pStyle w:val="ListParagraph"/>
        <w:numPr>
          <w:ilvl w:val="0"/>
          <w:numId w:val="2"/>
        </w:numPr>
      </w:pPr>
      <w:r>
        <w:t>Association of d</w:t>
      </w:r>
      <w:r w:rsidR="003A3E07">
        <w:t xml:space="preserve">escriptive metadata </w:t>
      </w:r>
      <w:r w:rsidR="00BD4402">
        <w:t>with</w:t>
      </w:r>
      <w:r w:rsidR="003A3E07">
        <w:t xml:space="preserve"> </w:t>
      </w:r>
      <w:r>
        <w:t xml:space="preserve">objects </w:t>
      </w:r>
      <w:r w:rsidR="003A3E07">
        <w:t>in a collection to provide a context</w:t>
      </w:r>
      <w:r w:rsidR="00573DEB">
        <w:t xml:space="preserve"> for interpreting the data</w:t>
      </w:r>
      <w:r>
        <w:t xml:space="preserve"> and captur</w:t>
      </w:r>
      <w:r w:rsidR="00BD4402">
        <w:t>ing</w:t>
      </w:r>
      <w:r>
        <w:t xml:space="preserve"> domain-</w:t>
      </w:r>
      <w:r w:rsidR="00BD4402">
        <w:t>centric</w:t>
      </w:r>
      <w:r>
        <w:t xml:space="preserve">  and </w:t>
      </w:r>
      <w:r w:rsidR="00BD4402">
        <w:t>systems-centric</w:t>
      </w:r>
      <w:r>
        <w:t xml:space="preserve"> structured information</w:t>
      </w:r>
      <w:r w:rsidR="003A3E07">
        <w:t>.</w:t>
      </w:r>
    </w:p>
    <w:p w14:paraId="4BEEA9AD" w14:textId="2373C3E7" w:rsidR="003A3E07" w:rsidRDefault="003A3E07" w:rsidP="003A3E07">
      <w:pPr>
        <w:pStyle w:val="ListParagraph"/>
        <w:numPr>
          <w:ilvl w:val="0"/>
          <w:numId w:val="2"/>
        </w:numPr>
      </w:pPr>
      <w:r>
        <w:t>Management of system state information</w:t>
      </w:r>
      <w:r w:rsidR="00573DEB">
        <w:t xml:space="preserve"> in a relational database</w:t>
      </w:r>
      <w:r w:rsidR="0005738F">
        <w:t>.  S</w:t>
      </w:r>
      <w:r>
        <w:t>ystem metadata</w:t>
      </w:r>
      <w:r w:rsidR="00573DEB">
        <w:t xml:space="preserve"> </w:t>
      </w:r>
      <w:r w:rsidR="0005738F">
        <w:t xml:space="preserve">were </w:t>
      </w:r>
      <w:r>
        <w:t>associated with files, collections, users, and storage systems.</w:t>
      </w:r>
      <w:r w:rsidR="00573DEB">
        <w:t xml:space="preserve">  This enabled rapid queries on a much richer set of attributes than normally provided by file systems.</w:t>
      </w:r>
      <w:r w:rsidR="00034ACB">
        <w:t xml:space="preserve"> The abstraction of a common set of attributes masked the differences between the types of resources being used in the physical layer and provided </w:t>
      </w:r>
      <w:r w:rsidR="00BD4402">
        <w:t>a u</w:t>
      </w:r>
      <w:r w:rsidR="00034ACB">
        <w:t>niform system information</w:t>
      </w:r>
      <w:r w:rsidR="00BD4402">
        <w:t xml:space="preserve"> management layer.</w:t>
      </w:r>
    </w:p>
    <w:p w14:paraId="7C8D56E6" w14:textId="672923E0" w:rsidR="003A3E07" w:rsidRDefault="003A3E07" w:rsidP="003A3E07">
      <w:pPr>
        <w:pStyle w:val="ListParagraph"/>
        <w:numPr>
          <w:ilvl w:val="0"/>
          <w:numId w:val="2"/>
        </w:numPr>
      </w:pPr>
      <w:r>
        <w:t>Management of the properties of the collection, independently of the properties of the s</w:t>
      </w:r>
      <w:r w:rsidR="00491DE7">
        <w:t>torage system in which the files</w:t>
      </w:r>
      <w:r>
        <w:t xml:space="preserve"> were </w:t>
      </w:r>
      <w:r w:rsidR="00491DE7">
        <w:t>stored.</w:t>
      </w:r>
      <w:r w:rsidR="0005738F">
        <w:t xml:space="preserve">  This was a key goal based</w:t>
      </w:r>
      <w:r w:rsidR="002A1EFB">
        <w:t xml:space="preserve"> on the virtualization of the </w:t>
      </w:r>
      <w:r w:rsidR="00CE1AA0">
        <w:t xml:space="preserve">data </w:t>
      </w:r>
      <w:r w:rsidR="002A1EFB">
        <w:t>collection instead of the virtualization of the storage systems.</w:t>
      </w:r>
    </w:p>
    <w:p w14:paraId="26B650ED" w14:textId="4F74AB17" w:rsidR="00491DE7" w:rsidRDefault="00491DE7" w:rsidP="003A3E07">
      <w:pPr>
        <w:pStyle w:val="ListParagraph"/>
        <w:numPr>
          <w:ilvl w:val="0"/>
          <w:numId w:val="2"/>
        </w:numPr>
      </w:pPr>
      <w:r>
        <w:t>Implementation of a single sign-on authentication system.  The files that were shared were owned by the data grid.  Users authenticated to the data grid, and in turn, the data grid authenticated itself to the remote storage system.  The files were stored under an account that represented the data grid.  This meant that the data grid had to both authent</w:t>
      </w:r>
      <w:r w:rsidR="002A1EFB">
        <w:t>icate users, and authorize actions</w:t>
      </w:r>
      <w:r w:rsidR="00034ACB">
        <w:t xml:space="preserve"> on resources and data</w:t>
      </w:r>
      <w:r>
        <w:t xml:space="preserve">.  Access controls were managed by the data grid independently of the </w:t>
      </w:r>
      <w:r w:rsidR="009E5E6A">
        <w:t>administrative domain</w:t>
      </w:r>
      <w:r w:rsidR="00034ACB">
        <w:t xml:space="preserve"> – again providing a common service across the </w:t>
      </w:r>
      <w:r w:rsidR="00BD4402">
        <w:t>distributed environment.</w:t>
      </w:r>
    </w:p>
    <w:p w14:paraId="565F81F6" w14:textId="757A4AD3" w:rsidR="00491DE7" w:rsidRDefault="00491DE7" w:rsidP="003A3E07">
      <w:pPr>
        <w:pStyle w:val="ListParagraph"/>
        <w:numPr>
          <w:ilvl w:val="0"/>
          <w:numId w:val="2"/>
        </w:numPr>
      </w:pPr>
      <w:r>
        <w:t>A</w:t>
      </w:r>
      <w:r w:rsidR="00280DC5">
        <w:t>n a</w:t>
      </w:r>
      <w:r>
        <w:t>rchitecture based on a peer-to-peer server environment.  Users could connect to any server</w:t>
      </w:r>
      <w:r w:rsidR="00BD4402">
        <w:t xml:space="preserve"> and t</w:t>
      </w:r>
      <w:r>
        <w:t xml:space="preserve">he data grid would redirect the request to the correct location for the desired file operation.  This meant that users could request a file without knowing where the file was located, without knowing the local name of the file (physical path name), </w:t>
      </w:r>
      <w:r w:rsidR="002A1EFB">
        <w:t xml:space="preserve">without having an account of the remote storage system, </w:t>
      </w:r>
      <w:r>
        <w:t xml:space="preserve">and without knowing the network access protocol required by the storage system.  The data grid managed the mapping from the logical file name to the physical path name, managed information about the file location, </w:t>
      </w:r>
      <w:r w:rsidR="008D7FDD">
        <w:t>translated the request by the user client to the protocol required by the remote storage location</w:t>
      </w:r>
      <w:r w:rsidR="002A1EFB">
        <w:t>, and initiated operations on behalf of the user</w:t>
      </w:r>
      <w:r w:rsidR="008D7FDD">
        <w:t>.</w:t>
      </w:r>
    </w:p>
    <w:p w14:paraId="0D757F4F" w14:textId="1FA1B9ED" w:rsidR="00D46734" w:rsidRDefault="00D46734" w:rsidP="003A3E07">
      <w:pPr>
        <w:pStyle w:val="ListParagraph"/>
        <w:numPr>
          <w:ilvl w:val="0"/>
          <w:numId w:val="2"/>
        </w:numPr>
      </w:pPr>
      <w:r>
        <w:t xml:space="preserve">Fault-tolerant semantics.  The intent was to build a system that tolerated failure, by redirecting data storage to locations that could provide the space.  This was implemented through the concept of storage resource groups.  Writing to a resource group succeeded when a file was written to at least one member of the group.  Thus </w:t>
      </w:r>
      <w:r w:rsidR="00E927C4">
        <w:t xml:space="preserve">some of the </w:t>
      </w:r>
      <w:r>
        <w:t xml:space="preserve">storage systems could be off-line, or down for </w:t>
      </w:r>
      <w:r w:rsidR="00847C0B">
        <w:t>maintenance</w:t>
      </w:r>
      <w:r>
        <w:t>, and the success of the operation could still be ensured.</w:t>
      </w:r>
      <w:r w:rsidR="00034ACB">
        <w:t xml:space="preserve"> Another type of fault tolerance was achieved through replication. Since the data grid provided a</w:t>
      </w:r>
      <w:r w:rsidR="00BD4402">
        <w:t xml:space="preserve"> mapping from the</w:t>
      </w:r>
      <w:r w:rsidR="00034ACB">
        <w:t xml:space="preserve"> logical name to </w:t>
      </w:r>
      <w:r w:rsidR="00BD4402">
        <w:t xml:space="preserve">the </w:t>
      </w:r>
      <w:r w:rsidR="00034ACB">
        <w:t xml:space="preserve">physical </w:t>
      </w:r>
      <w:r w:rsidR="00034ACB">
        <w:lastRenderedPageBreak/>
        <w:t>address locatio</w:t>
      </w:r>
      <w:r w:rsidR="00BD4402">
        <w:t>n</w:t>
      </w:r>
      <w:r w:rsidR="00034ACB">
        <w:t>, it was e</w:t>
      </w:r>
      <w:r w:rsidR="00BD4402">
        <w:t>a</w:t>
      </w:r>
      <w:r w:rsidR="00034ACB">
        <w:t xml:space="preserve">sy to extend this mapping to multiple physical addresses – hence providing </w:t>
      </w:r>
      <w:r w:rsidR="00BD4402">
        <w:t>management of</w:t>
      </w:r>
      <w:r w:rsidR="00034ACB">
        <w:t xml:space="preserve"> synchronized copies of </w:t>
      </w:r>
      <w:r w:rsidR="00BD4402">
        <w:t>a</w:t>
      </w:r>
      <w:r w:rsidR="00034ACB">
        <w:t xml:space="preserve"> data object </w:t>
      </w:r>
      <w:r w:rsidR="00BD4402">
        <w:t>distributed across</w:t>
      </w:r>
      <w:r w:rsidR="00877238">
        <w:t xml:space="preserve"> multiple resources. If </w:t>
      </w:r>
      <w:r w:rsidR="00034ACB">
        <w:t xml:space="preserve">access to one copy was unavailable, the system automatically provided access </w:t>
      </w:r>
      <w:r w:rsidR="00BD4402">
        <w:t>to</w:t>
      </w:r>
      <w:r w:rsidR="00034ACB">
        <w:t xml:space="preserve"> its replica. </w:t>
      </w:r>
    </w:p>
    <w:p w14:paraId="553F6371" w14:textId="77777777" w:rsidR="00433F69" w:rsidRDefault="00433F69" w:rsidP="008D7FDD"/>
    <w:p w14:paraId="12937BED" w14:textId="7E9019AB" w:rsidR="008D7FDD" w:rsidRDefault="000F5A45" w:rsidP="008D7FDD">
      <w:r>
        <w:rPr>
          <w:b/>
        </w:rPr>
        <w:t xml:space="preserve">II.  </w:t>
      </w:r>
      <w:r w:rsidR="00433F69" w:rsidRPr="00433F69">
        <w:rPr>
          <w:b/>
        </w:rPr>
        <w:t>Storage Resource Broker:</w:t>
      </w:r>
      <w:r w:rsidR="008D7FDD" w:rsidRPr="00433F69">
        <w:rPr>
          <w:b/>
        </w:rPr>
        <w:br/>
      </w:r>
      <w:r w:rsidR="008D7FDD">
        <w:t>The development of the Storage Resource Broker was funded initi</w:t>
      </w:r>
      <w:r w:rsidR="002A1EFB">
        <w:t>ally by</w:t>
      </w:r>
      <w:r w:rsidR="008D7FDD">
        <w:t xml:space="preserve"> DARPA through the “Massive Data Analysis Systems” project</w:t>
      </w:r>
      <w:r w:rsidR="00677AB5">
        <w:t xml:space="preserve"> [3</w:t>
      </w:r>
      <w:r w:rsidR="002A1EFB">
        <w:t>]</w:t>
      </w:r>
      <w:r w:rsidR="008D7FDD">
        <w:t xml:space="preserve">.  The effort to build </w:t>
      </w:r>
      <w:r w:rsidR="00677AB5">
        <w:t>software</w:t>
      </w:r>
      <w:r w:rsidR="008D7FDD">
        <w:t xml:space="preserve"> to manage distributed data was viewed as a sufficiently risky objective to warrant DARPA funding.  </w:t>
      </w:r>
      <w:r w:rsidR="002F4C88">
        <w:t xml:space="preserve">When the approach was presented at a meeting with </w:t>
      </w:r>
      <w:r w:rsidR="00280DC5">
        <w:t xml:space="preserve">the tape storage vendor </w:t>
      </w:r>
      <w:r w:rsidR="002F4C88">
        <w:t xml:space="preserve">Storage Tek, the response was that they were used to leading edge projects, but the DICE group was halfway down the cliff.  </w:t>
      </w:r>
      <w:r w:rsidR="008D7FDD">
        <w:t xml:space="preserve">The initial development </w:t>
      </w:r>
      <w:r w:rsidR="00433F69">
        <w:t>integrated</w:t>
      </w:r>
      <w:r w:rsidR="008D7FDD">
        <w:t xml:space="preserve"> multiple </w:t>
      </w:r>
      <w:r w:rsidR="00433F69">
        <w:t>types of technology</w:t>
      </w:r>
      <w:r w:rsidR="008D7FDD">
        <w:t>:</w:t>
      </w:r>
    </w:p>
    <w:p w14:paraId="3FA76078" w14:textId="65901362" w:rsidR="008D7FDD" w:rsidRDefault="008D7FDD" w:rsidP="008D7FDD">
      <w:pPr>
        <w:pStyle w:val="ListParagraph"/>
        <w:numPr>
          <w:ilvl w:val="0"/>
          <w:numId w:val="3"/>
        </w:numPr>
      </w:pPr>
      <w:r>
        <w:t xml:space="preserve">Use of relational database technology to manage the system state information.  As part of the EOSDIS alternative architecture study (1994), a centralized architecture was proposed in which all data were managed by a relational database.  The SRB data grid was designed to store system state information in a relational database, while </w:t>
      </w:r>
      <w:r w:rsidR="00F05161">
        <w:t>maintaining</w:t>
      </w:r>
      <w:r>
        <w:t xml:space="preserve"> links to files on</w:t>
      </w:r>
      <w:r w:rsidR="00FE7975">
        <w:t xml:space="preserve"> distributed</w:t>
      </w:r>
      <w:r>
        <w:t xml:space="preserve"> storage systems.</w:t>
      </w:r>
      <w:r w:rsidR="00D449CA">
        <w:t xml:space="preserve"> At that time, holding and accessing hierarchical path information in relational systems w</w:t>
      </w:r>
      <w:r w:rsidR="00BB1F53">
        <w:t>as</w:t>
      </w:r>
      <w:r w:rsidR="00D449CA">
        <w:t xml:space="preserve"> considered to be </w:t>
      </w:r>
      <w:r w:rsidR="00BB1F53">
        <w:t xml:space="preserve">a </w:t>
      </w:r>
      <w:r w:rsidR="00D449CA">
        <w:t>performance bottleneck. We chose to do this in order to achieve scalability</w:t>
      </w:r>
      <w:r w:rsidR="00BB1F53">
        <w:t>, since t</w:t>
      </w:r>
      <w:r w:rsidR="00D449CA">
        <w:t xml:space="preserve">he file systems at that time dealt with less than 2 million files. </w:t>
      </w:r>
    </w:p>
    <w:p w14:paraId="770E7B3F" w14:textId="1BD1CAB7" w:rsidR="008D7FDD" w:rsidRDefault="009E5E6A" w:rsidP="008D7FDD">
      <w:pPr>
        <w:pStyle w:val="ListParagraph"/>
        <w:numPr>
          <w:ilvl w:val="0"/>
          <w:numId w:val="3"/>
        </w:numPr>
      </w:pPr>
      <w:r>
        <w:t>Virtualization of data collections</w:t>
      </w:r>
      <w:r w:rsidR="002F4C88">
        <w:t xml:space="preserve"> versus virtualization of </w:t>
      </w:r>
      <w:r>
        <w:t>storage</w:t>
      </w:r>
      <w:r w:rsidR="002F4C88">
        <w:t>.  The SRB focused on managing the properties of the data collection, instead of managing the storage systems.  This made it possible to implement operations directed at data manipulation in addition to data storage.</w:t>
      </w:r>
      <w:r w:rsidR="00D449CA">
        <w:t xml:space="preserve"> Vendors were beginning to </w:t>
      </w:r>
      <w:r w:rsidR="00BB1F53">
        <w:t>implement</w:t>
      </w:r>
      <w:r w:rsidR="00D449CA">
        <w:t xml:space="preserve"> storage virtualization </w:t>
      </w:r>
      <w:r w:rsidR="00BB1F53">
        <w:t xml:space="preserve">but considered </w:t>
      </w:r>
      <w:r w:rsidR="00D449CA">
        <w:t>data/collection virtualization to be too risky.</w:t>
      </w:r>
    </w:p>
    <w:p w14:paraId="75736350" w14:textId="679966FA" w:rsidR="00FE7975" w:rsidRDefault="00FE7975" w:rsidP="008D7FDD">
      <w:pPr>
        <w:pStyle w:val="ListParagraph"/>
        <w:numPr>
          <w:ilvl w:val="0"/>
          <w:numId w:val="3"/>
        </w:numPr>
      </w:pPr>
      <w:r>
        <w:t>Support for heterogeneous storage systems.  In order to manage interactions with multiple types of storage system protocols, the SRB software was designed to map from a standard protocol that was based on extensions to Posix I/O, to the protocol used by a specific type of storage system</w:t>
      </w:r>
      <w:r w:rsidR="00D449CA">
        <w:t xml:space="preserve"> such as </w:t>
      </w:r>
      <w:r w:rsidR="00BB1F53">
        <w:t xml:space="preserve">the </w:t>
      </w:r>
      <w:r w:rsidR="00D449CA">
        <w:t>IBM H</w:t>
      </w:r>
      <w:r w:rsidR="00BB1F53">
        <w:t xml:space="preserve">igh Performance </w:t>
      </w:r>
      <w:r w:rsidR="00D449CA">
        <w:t>S</w:t>
      </w:r>
      <w:r w:rsidR="00BB1F53">
        <w:t>torage System</w:t>
      </w:r>
      <w:r w:rsidR="00D449CA">
        <w:t xml:space="preserve">, </w:t>
      </w:r>
      <w:r w:rsidR="00BB1F53">
        <w:t xml:space="preserve">the </w:t>
      </w:r>
      <w:r w:rsidR="00D449CA">
        <w:t xml:space="preserve">UniTree storage system, </w:t>
      </w:r>
      <w:r w:rsidR="00877238">
        <w:t xml:space="preserve">the </w:t>
      </w:r>
      <w:r w:rsidR="00BB1F53">
        <w:t>Network File System,</w:t>
      </w:r>
      <w:r w:rsidR="00D449CA">
        <w:t xml:space="preserve"> and </w:t>
      </w:r>
      <w:r w:rsidR="00877238">
        <w:t xml:space="preserve">the </w:t>
      </w:r>
      <w:r w:rsidR="00D449CA">
        <w:t>Cray F</w:t>
      </w:r>
      <w:r w:rsidR="00BB1F53">
        <w:t xml:space="preserve">ile System </w:t>
      </w:r>
      <w:r w:rsidR="00D449CA">
        <w:t>etc</w:t>
      </w:r>
      <w:r>
        <w:t xml:space="preserve">.  The protocol conversion was implemented as a </w:t>
      </w:r>
      <w:r w:rsidR="00D449CA">
        <w:t>modular and extensi</w:t>
      </w:r>
      <w:r w:rsidR="00BB1F53">
        <w:t>b</w:t>
      </w:r>
      <w:r w:rsidR="00D449CA">
        <w:t xml:space="preserve">le </w:t>
      </w:r>
      <w:r>
        <w:t xml:space="preserve">software driver.  The data grid tracked all operations performed through the middleware, and updated persistent state variables consistently.  </w:t>
      </w:r>
    </w:p>
    <w:p w14:paraId="059EE40C" w14:textId="41EAB42B" w:rsidR="00FE7975" w:rsidRDefault="00FE7975" w:rsidP="008D7FDD">
      <w:pPr>
        <w:pStyle w:val="ListParagraph"/>
        <w:numPr>
          <w:ilvl w:val="0"/>
          <w:numId w:val="3"/>
        </w:numPr>
      </w:pPr>
      <w:r>
        <w:t>Extended support for data manipulation</w:t>
      </w:r>
      <w:r w:rsidR="009E5E6A">
        <w:t xml:space="preserve"> operations</w:t>
      </w:r>
      <w:r>
        <w:t xml:space="preserve">.  The SRB data grid implemented operations for replication, versioning, </w:t>
      </w:r>
      <w:r w:rsidR="00D449CA">
        <w:t xml:space="preserve">synchronizing, auditing, </w:t>
      </w:r>
      <w:r>
        <w:t>aggre</w:t>
      </w:r>
      <w:r w:rsidR="00F05161">
        <w:t>gation in containers, staging of</w:t>
      </w:r>
      <w:r>
        <w:t xml:space="preserve"> files, archiving of file</w:t>
      </w:r>
      <w:r w:rsidR="00F05161">
        <w:t>s</w:t>
      </w:r>
      <w:r>
        <w:t>, checksum creation, metadata extr</w:t>
      </w:r>
      <w:r w:rsidR="00877238">
        <w:t>action, and metadata loading.  Since t</w:t>
      </w:r>
      <w:r>
        <w:t xml:space="preserve">he additional operations were </w:t>
      </w:r>
      <w:r w:rsidR="009E5E6A">
        <w:t>initiated through both</w:t>
      </w:r>
      <w:r>
        <w:t xml:space="preserve"> Unix utilities</w:t>
      </w:r>
      <w:r w:rsidR="00877238">
        <w:t xml:space="preserve"> and web browsers, a </w:t>
      </w:r>
      <w:r w:rsidR="009E5E6A">
        <w:t>key pr</w:t>
      </w:r>
      <w:r w:rsidR="00B12875">
        <w:t>operty of the data grid was the decoupling of</w:t>
      </w:r>
      <w:r w:rsidR="009E5E6A">
        <w:t xml:space="preserve"> access mechanisms </w:t>
      </w:r>
      <w:r w:rsidR="00B12875">
        <w:t>f</w:t>
      </w:r>
      <w:r w:rsidR="009E5E6A">
        <w:t>rom the data management middleware.</w:t>
      </w:r>
    </w:p>
    <w:p w14:paraId="0AF65BCA" w14:textId="7EDE26E5" w:rsidR="00FE7975" w:rsidRDefault="00FE7975" w:rsidP="008D7FDD">
      <w:pPr>
        <w:pStyle w:val="ListParagraph"/>
        <w:numPr>
          <w:ilvl w:val="0"/>
          <w:numId w:val="3"/>
        </w:numPr>
      </w:pPr>
      <w:r>
        <w:lastRenderedPageBreak/>
        <w:t xml:space="preserve">Support for multiple </w:t>
      </w:r>
      <w:r w:rsidR="003D0101">
        <w:t xml:space="preserve">types of </w:t>
      </w:r>
      <w:r>
        <w:t>client</w:t>
      </w:r>
      <w:r w:rsidR="003D0101">
        <w:t xml:space="preserve"> interface</w:t>
      </w:r>
      <w:r>
        <w:t>s.  A second layer of virtualization was needed to manage mapping from the protocol used by client</w:t>
      </w:r>
      <w:r w:rsidR="003D0101">
        <w:t xml:space="preserve"> software</w:t>
      </w:r>
      <w:r>
        <w:t xml:space="preserve">, to the standard I/O protocol supported within the data grid.  For the SRB, the clients that were supported included web browsers, Java load library, C I/O library, and </w:t>
      </w:r>
      <w:r w:rsidR="00847C0B">
        <w:t>Fortran</w:t>
      </w:r>
      <w:r>
        <w:t xml:space="preserve"> I/O library.  The protocol used by the client did not have to match the protocol required by the storage system.  In effect, the SRB im</w:t>
      </w:r>
      <w:r w:rsidR="00433F69">
        <w:t>plemented brokering technology</w:t>
      </w:r>
      <w:r w:rsidR="009E5E6A">
        <w:t xml:space="preserve"> between clients and storage</w:t>
      </w:r>
      <w:r w:rsidR="00433F69">
        <w:t>.</w:t>
      </w:r>
    </w:p>
    <w:p w14:paraId="27E4A16F" w14:textId="2422FFE2" w:rsidR="00433F69" w:rsidRDefault="00433F69" w:rsidP="008D7FDD">
      <w:pPr>
        <w:pStyle w:val="ListParagraph"/>
        <w:numPr>
          <w:ilvl w:val="0"/>
          <w:numId w:val="3"/>
        </w:numPr>
      </w:pPr>
      <w:r>
        <w:t xml:space="preserve">Support for multiple authentication environments.  Since the data grid managed information </w:t>
      </w:r>
      <w:r w:rsidR="003D0101">
        <w:t xml:space="preserve">that were spread across multiple administrative domains, it needed to deal with the different types of authentication that were supported by these system administrations.  To perform authorization across </w:t>
      </w:r>
      <w:r>
        <w:t xml:space="preserve">users as well as files, multiple types of authentication systems </w:t>
      </w:r>
      <w:r w:rsidR="003D0101">
        <w:t>wer</w:t>
      </w:r>
      <w:r w:rsidR="00BB1F53">
        <w:t>e</w:t>
      </w:r>
      <w:r w:rsidR="003D0101">
        <w:t xml:space="preserve"> supported</w:t>
      </w:r>
      <w:r>
        <w:t>, including Unix passwords, Kerberos, and Grid Security Infrastructure</w:t>
      </w:r>
      <w:r w:rsidR="003D0101">
        <w:t xml:space="preserve"> </w:t>
      </w:r>
      <w:r w:rsidR="00BB1F53">
        <w:t xml:space="preserve">through the </w:t>
      </w:r>
      <w:r w:rsidR="003D0101">
        <w:t>G</w:t>
      </w:r>
      <w:r w:rsidR="00BB1F53">
        <w:t xml:space="preserve">eneric </w:t>
      </w:r>
      <w:r w:rsidR="003D0101">
        <w:t>S</w:t>
      </w:r>
      <w:r w:rsidR="00BB1F53">
        <w:t xml:space="preserve">ecurity </w:t>
      </w:r>
      <w:r w:rsidR="003D0101">
        <w:t>S</w:t>
      </w:r>
      <w:r w:rsidR="00BB1F53">
        <w:t xml:space="preserve">ervice </w:t>
      </w:r>
      <w:r w:rsidR="00B12875">
        <w:t>API</w:t>
      </w:r>
      <w:r>
        <w:t xml:space="preserve">.  For each type of authentication </w:t>
      </w:r>
      <w:r w:rsidR="00F05161">
        <w:t>environment</w:t>
      </w:r>
      <w:r>
        <w:t>, the associated information was stored in the metadata catalog as attributes on the user account name.  The authentication mechanism used to authenticate a person to the data grid did not have to be the same as the authen</w:t>
      </w:r>
      <w:r w:rsidR="00F05161">
        <w:t>t</w:t>
      </w:r>
      <w:r>
        <w:t>ication mechanism used to authenticate data grid access to a remote storage system.</w:t>
      </w:r>
      <w:r w:rsidR="003D0101">
        <w:t xml:space="preserve"> Hence, the system also worked as a</w:t>
      </w:r>
      <w:r w:rsidR="00BB1F53">
        <w:t>n</w:t>
      </w:r>
      <w:r w:rsidR="003D0101">
        <w:t xml:space="preserve"> authentication broker.</w:t>
      </w:r>
    </w:p>
    <w:p w14:paraId="1A64AFBC" w14:textId="56857C74" w:rsidR="00433F69" w:rsidRDefault="00433F69" w:rsidP="008D7FDD">
      <w:pPr>
        <w:pStyle w:val="ListParagraph"/>
        <w:numPr>
          <w:ilvl w:val="0"/>
          <w:numId w:val="3"/>
        </w:numPr>
      </w:pPr>
      <w:r>
        <w:t>Schema indirection.  Each user community had different definitions for the descriptive metadata that they associated with files and collections.  Schema indirection was used to store a triplet consisting of the attribute name, the attribute value, and an attribute unit or comment.  This allowed each community to use the data grid as generic infrastructure and implement their domain specific descriptive metadata.</w:t>
      </w:r>
      <w:r w:rsidR="00315C9A">
        <w:t xml:space="preserve"> </w:t>
      </w:r>
      <w:r w:rsidR="00BB1F53">
        <w:t>Association</w:t>
      </w:r>
      <w:r w:rsidR="00315C9A">
        <w:t xml:space="preserve"> of name spaces to form an entity set (e</w:t>
      </w:r>
      <w:r w:rsidR="00BB1F53">
        <w:t>. g</w:t>
      </w:r>
      <w:r w:rsidR="00315C9A">
        <w:t>. Du</w:t>
      </w:r>
      <w:r w:rsidR="00BB1F53">
        <w:t>b</w:t>
      </w:r>
      <w:r w:rsidR="00315C9A">
        <w:t xml:space="preserve">lin Core, FITS metadata, </w:t>
      </w:r>
      <w:r w:rsidR="00BB1F53">
        <w:t>DICOM metadata</w:t>
      </w:r>
      <w:r w:rsidR="00315C9A">
        <w:t>, etc</w:t>
      </w:r>
      <w:r w:rsidR="00BB1F53">
        <w:t>.</w:t>
      </w:r>
      <w:r w:rsidR="00315C9A">
        <w:t xml:space="preserve">) </w:t>
      </w:r>
      <w:r w:rsidR="00BB1F53">
        <w:t>was</w:t>
      </w:r>
      <w:r w:rsidR="00315C9A">
        <w:t xml:space="preserve"> also possible.</w:t>
      </w:r>
    </w:p>
    <w:p w14:paraId="79B84D70" w14:textId="5A044D73" w:rsidR="00F05161" w:rsidRDefault="00F05161" w:rsidP="008D7FDD">
      <w:pPr>
        <w:pStyle w:val="ListParagraph"/>
        <w:numPr>
          <w:ilvl w:val="0"/>
          <w:numId w:val="3"/>
        </w:numPr>
      </w:pPr>
      <w:r>
        <w:t xml:space="preserve">Extensible generic infrastructure.  Since multiple types of applications built upon the SRB data grid, new features were implemented through appropriate forms of virtualization.  This ensured that the system would remain compatible with prior versions, and that extensions to the software could build upon multiple versions of </w:t>
      </w:r>
      <w:r w:rsidR="00BB1F53">
        <w:t>storage</w:t>
      </w:r>
      <w:r>
        <w:t xml:space="preserve"> technology.  The highly extensible architecture ensured long-term sustainability of the software through continued application to additional science and engineering domains.</w:t>
      </w:r>
    </w:p>
    <w:p w14:paraId="7172255C" w14:textId="77777777" w:rsidR="006C2724" w:rsidRDefault="006C2724" w:rsidP="00433F69"/>
    <w:p w14:paraId="36B54BC4" w14:textId="21CCD1B8" w:rsidR="00433F69" w:rsidRDefault="006C2724" w:rsidP="00433F69">
      <w:r>
        <w:t>The SRB can</w:t>
      </w:r>
      <w:r w:rsidR="00433F69">
        <w:t xml:space="preserve"> be viewed as an interoperability mechanism that enabled use of multiple types of storage technology, multiple types of authentication systems, and </w:t>
      </w:r>
      <w:r w:rsidR="00847C0B">
        <w:t>multiple</w:t>
      </w:r>
      <w:r w:rsidR="00433F69">
        <w:t xml:space="preserve"> types of access clients.  </w:t>
      </w:r>
      <w:r w:rsidR="00423818">
        <w:t xml:space="preserve">The interoperability enabled by the SRB software is shown in Figure 1.  The SRB data grid </w:t>
      </w:r>
      <w:r w:rsidR="001E5EBE">
        <w:t>was</w:t>
      </w:r>
      <w:r w:rsidR="00423818">
        <w:t xml:space="preserve"> implemented as multiple software servers that may reside on different computers or may be co-located on a single computer.  Each software server r</w:t>
      </w:r>
      <w:r w:rsidR="00BB1F53">
        <w:t>an</w:t>
      </w:r>
      <w:r w:rsidR="00423818">
        <w:t xml:space="preserve"> as a user-level application on the computer.  The servers communicate</w:t>
      </w:r>
      <w:r w:rsidR="00BB1F53">
        <w:t>d</w:t>
      </w:r>
      <w:r w:rsidR="00423818">
        <w:t xml:space="preserve"> over a network using a protocol written specifically for </w:t>
      </w:r>
      <w:r w:rsidR="00423818">
        <w:lastRenderedPageBreak/>
        <w:t>the Storage Resource Broker.  External clients access</w:t>
      </w:r>
      <w:r w:rsidR="00BB1F53">
        <w:t>ed</w:t>
      </w:r>
      <w:r w:rsidR="00423818">
        <w:t xml:space="preserve"> the data grid over a network.  Each access </w:t>
      </w:r>
      <w:r w:rsidR="00BB1F53">
        <w:t>wa</w:t>
      </w:r>
      <w:r w:rsidR="00423818">
        <w:t xml:space="preserve">s authenticated, and each operation </w:t>
      </w:r>
      <w:r w:rsidR="001E5EBE">
        <w:t>was</w:t>
      </w:r>
      <w:r w:rsidR="00423818">
        <w:t xml:space="preserve"> authorized by the data grid.  </w:t>
      </w:r>
      <w:r>
        <w:t>One of the servers manage</w:t>
      </w:r>
      <w:r w:rsidR="00BB1F53">
        <w:t>d</w:t>
      </w:r>
      <w:r>
        <w:t xml:space="preserve"> interactions with a metadata catalog, which in turn compose</w:t>
      </w:r>
      <w:r w:rsidR="00BB1F53">
        <w:t>d</w:t>
      </w:r>
      <w:r>
        <w:t xml:space="preserve"> the SQL needed to interact with a relational database</w:t>
      </w:r>
      <w:r w:rsidR="00315C9A">
        <w:t xml:space="preserve"> that stores the catalog</w:t>
      </w:r>
      <w:r>
        <w:t xml:space="preserve">.  The SRB had drivers for interacting with multiple types of storage systems (tape archives, file systems, objects in databases, object </w:t>
      </w:r>
      <w:r w:rsidR="00315C9A">
        <w:t>ring buffers</w:t>
      </w:r>
      <w:r>
        <w:t>) and multiple databases (DB2, Oracle, Sybase, Postgres, mySQL, and Informix).  Any of the listed clients (C library, Java, Unix shell command, C++ library, web browser, Kepler workflow actor, Python load library, Perl load library, Dspace digital library, GridFTP transport tool) could discover, retrieve, or load files within the distributed environment</w:t>
      </w:r>
      <w:r w:rsidR="00315C9A">
        <w:t xml:space="preserve"> using a uniform API or </w:t>
      </w:r>
      <w:r w:rsidR="00EE6E2F">
        <w:t>the</w:t>
      </w:r>
      <w:r w:rsidR="00315C9A">
        <w:t xml:space="preserve"> SRB communication protocol</w:t>
      </w:r>
      <w:r>
        <w:t>.</w:t>
      </w:r>
      <w:r w:rsidR="00423818">
        <w:t xml:space="preserve"> </w:t>
      </w:r>
    </w:p>
    <w:p w14:paraId="1BB2E6A3" w14:textId="1FA4391A" w:rsidR="00EE6E2F" w:rsidRDefault="00EE6E2F" w:rsidP="00433F69">
      <w:r>
        <w:rPr>
          <w:noProof/>
        </w:rPr>
        <mc:AlternateContent>
          <mc:Choice Requires="wps">
            <w:drawing>
              <wp:anchor distT="0" distB="0" distL="114300" distR="114300" simplePos="0" relativeHeight="251659264" behindDoc="0" locked="0" layoutInCell="1" allowOverlap="1" wp14:anchorId="15885C8E" wp14:editId="0EFF1FF5">
                <wp:simplePos x="0" y="0"/>
                <wp:positionH relativeFrom="column">
                  <wp:posOffset>1600200</wp:posOffset>
                </wp:positionH>
                <wp:positionV relativeFrom="paragraph">
                  <wp:posOffset>-7620</wp:posOffset>
                </wp:positionV>
                <wp:extent cx="4114800" cy="3500120"/>
                <wp:effectExtent l="0" t="0" r="0" b="5080"/>
                <wp:wrapSquare wrapText="bothSides"/>
                <wp:docPr id="5" name="Text Box 5"/>
                <wp:cNvGraphicFramePr/>
                <a:graphic xmlns:a="http://schemas.openxmlformats.org/drawingml/2006/main">
                  <a:graphicData uri="http://schemas.microsoft.com/office/word/2010/wordprocessingShape">
                    <wps:wsp>
                      <wps:cNvSpPr txBox="1"/>
                      <wps:spPr>
                        <a:xfrm>
                          <a:off x="0" y="0"/>
                          <a:ext cx="4114800" cy="3500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1EDEA" w14:textId="42B8BB43" w:rsidR="009F4698" w:rsidRDefault="009F4698" w:rsidP="004F2CD9">
                            <w:pPr>
                              <w:jc w:val="center"/>
                            </w:pPr>
                            <w:r>
                              <w:rPr>
                                <w:noProof/>
                              </w:rPr>
                              <w:drawing>
                                <wp:inline distT="0" distB="0" distL="0" distR="0" wp14:anchorId="43F4C3D2" wp14:editId="7DB267F0">
                                  <wp:extent cx="3762306" cy="3122626"/>
                                  <wp:effectExtent l="25400" t="25400" r="2286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9">
                                            <a:extLst>
                                              <a:ext uri="{28A0092B-C50C-407E-A947-70E740481C1C}">
                                                <a14:useLocalDpi xmlns:a14="http://schemas.microsoft.com/office/drawing/2010/main" val="0"/>
                                              </a:ext>
                                            </a:extLst>
                                          </a:blip>
                                          <a:stretch>
                                            <a:fillRect/>
                                          </a:stretch>
                                        </pic:blipFill>
                                        <pic:spPr>
                                          <a:xfrm>
                                            <a:off x="0" y="0"/>
                                            <a:ext cx="3762944" cy="3123156"/>
                                          </a:xfrm>
                                          <a:prstGeom prst="rect">
                                            <a:avLst/>
                                          </a:prstGeom>
                                          <a:ln>
                                            <a:solidFill>
                                              <a:schemeClr val="tx1"/>
                                            </a:solidFill>
                                          </a:ln>
                                        </pic:spPr>
                                      </pic:pic>
                                    </a:graphicData>
                                  </a:graphic>
                                </wp:inline>
                              </w:drawing>
                            </w:r>
                          </w:p>
                          <w:p w14:paraId="5DC45418" w14:textId="17E68668" w:rsidR="009F4698" w:rsidRDefault="009F4698" w:rsidP="00D95FD5">
                            <w:pPr>
                              <w:jc w:val="center"/>
                            </w:pPr>
                            <w:r>
                              <w:t>Figure 1.  Storage Resource Broker Data Grid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26pt;margin-top:-.55pt;width:324pt;height:2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pB88CAAAP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" filled="f" stroked="f">
                <v:textbox>
                  <w:txbxContent>
                    <w:p w14:paraId="7D91EDEA" w14:textId="42B8BB43" w:rsidR="009F4698" w:rsidRDefault="009F4698" w:rsidP="004F2CD9">
                      <w:pPr>
                        <w:jc w:val="center"/>
                      </w:pPr>
                      <w:r>
                        <w:rPr>
                          <w:noProof/>
                        </w:rPr>
                        <w:drawing>
                          <wp:inline distT="0" distB="0" distL="0" distR="0" wp14:anchorId="43F4C3D2" wp14:editId="7DB267F0">
                            <wp:extent cx="3762306" cy="3122626"/>
                            <wp:effectExtent l="25400" t="25400" r="2286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0">
                                      <a:extLst>
                                        <a:ext uri="{28A0092B-C50C-407E-A947-70E740481C1C}">
                                          <a14:useLocalDpi xmlns:a14="http://schemas.microsoft.com/office/drawing/2010/main" val="0"/>
                                        </a:ext>
                                      </a:extLst>
                                    </a:blip>
                                    <a:stretch>
                                      <a:fillRect/>
                                    </a:stretch>
                                  </pic:blipFill>
                                  <pic:spPr>
                                    <a:xfrm>
                                      <a:off x="0" y="0"/>
                                      <a:ext cx="3762944" cy="3123156"/>
                                    </a:xfrm>
                                    <a:prstGeom prst="rect">
                                      <a:avLst/>
                                    </a:prstGeom>
                                    <a:ln>
                                      <a:solidFill>
                                        <a:schemeClr val="tx1"/>
                                      </a:solidFill>
                                    </a:ln>
                                  </pic:spPr>
                                </pic:pic>
                              </a:graphicData>
                            </a:graphic>
                          </wp:inline>
                        </w:drawing>
                      </w:r>
                    </w:p>
                    <w:p w14:paraId="5DC45418" w14:textId="17E68668" w:rsidR="009F4698" w:rsidRDefault="009F4698" w:rsidP="00D95FD5">
                      <w:pPr>
                        <w:jc w:val="center"/>
                      </w:pPr>
                      <w:r>
                        <w:t>Figure 1.  Storage Resource Broker Data Grid Components</w:t>
                      </w:r>
                    </w:p>
                  </w:txbxContent>
                </v:textbox>
                <w10:wrap type="square"/>
              </v:shape>
            </w:pict>
          </mc:Fallback>
        </mc:AlternateContent>
      </w:r>
    </w:p>
    <w:p w14:paraId="0A940DB9" w14:textId="6229E81F" w:rsidR="00433F69" w:rsidRDefault="00433F69" w:rsidP="00433F69">
      <w:r>
        <w:t>The develop</w:t>
      </w:r>
      <w:r w:rsidR="00AE359B">
        <w:t>ment of the SRB was funded by 22</w:t>
      </w:r>
      <w:r>
        <w:t xml:space="preserve"> projects that represented collaborations with groups sharing data, </w:t>
      </w:r>
      <w:r w:rsidR="00B12875">
        <w:t xml:space="preserve">groups </w:t>
      </w:r>
      <w:r w:rsidR="00315C9A">
        <w:t>managing large-scale distri</w:t>
      </w:r>
      <w:r w:rsidR="00EE6E2F">
        <w:t>b</w:t>
      </w:r>
      <w:r w:rsidR="00315C9A">
        <w:t xml:space="preserve">uted data, </w:t>
      </w:r>
      <w:r w:rsidR="00B12875">
        <w:t xml:space="preserve">groups </w:t>
      </w:r>
      <w:r>
        <w:t xml:space="preserve">organizing digital libraries, and </w:t>
      </w:r>
      <w:r w:rsidR="00B12875">
        <w:t xml:space="preserve">groups </w:t>
      </w:r>
      <w:r w:rsidR="00D33B44">
        <w:t>building preservation environments.  The very wide range of applications ensured that generic infrastructure was developed, with appropriate virtualization mechanisms used to support the domain features of each application.</w:t>
      </w:r>
    </w:p>
    <w:p w14:paraId="53EF1F19" w14:textId="08515E7F" w:rsidR="002F4C88" w:rsidRDefault="002F4C88" w:rsidP="00433F69">
      <w:pPr>
        <w:pStyle w:val="ListParagraph"/>
      </w:pPr>
    </w:p>
    <w:p w14:paraId="4D2F5425" w14:textId="6DD4B5CD" w:rsidR="000F5A45" w:rsidRPr="00433F69" w:rsidRDefault="000F5A45" w:rsidP="00433F69">
      <w:pPr>
        <w:pStyle w:val="ListParagraph"/>
        <w:ind w:left="0"/>
        <w:rPr>
          <w:b/>
        </w:rPr>
      </w:pPr>
      <w:r>
        <w:rPr>
          <w:b/>
        </w:rPr>
        <w:t xml:space="preserve">III.  </w:t>
      </w:r>
      <w:r w:rsidR="00433F69">
        <w:rPr>
          <w:b/>
        </w:rPr>
        <w:t xml:space="preserve">Data Management </w:t>
      </w:r>
      <w:r w:rsidR="00433F69" w:rsidRPr="00433F69">
        <w:rPr>
          <w:b/>
        </w:rPr>
        <w:t>Concepts:</w:t>
      </w:r>
    </w:p>
    <w:p w14:paraId="14AC1427" w14:textId="3EBD771F" w:rsidR="00FE7975" w:rsidRDefault="00D33B44" w:rsidP="00FD2899">
      <w:r>
        <w:t xml:space="preserve">Within each collaboration, data management concepts were developed to represent how generic infrastructure could be used to support all types of data management applications.  The concepts are useful in that they help define standard semantics for discussing data management.  In many cases, the DICE group had to invent terms, or extend the meaning of terms in order to describe what was being done.  </w:t>
      </w:r>
      <w:r w:rsidR="00315C9A">
        <w:t>Eventual</w:t>
      </w:r>
      <w:r w:rsidR="00BB5903">
        <w:t>l</w:t>
      </w:r>
      <w:r w:rsidR="00315C9A">
        <w:t>y</w:t>
      </w:r>
      <w:r>
        <w:t xml:space="preserve">, </w:t>
      </w:r>
      <w:r w:rsidR="00315C9A">
        <w:t xml:space="preserve">many </w:t>
      </w:r>
      <w:r>
        <w:t>terms gained broader acceptance within the academic world.  Each example of a concept is illustrated within the context of the collaboration project that supported the development of the associated generic infrastructure.</w:t>
      </w:r>
      <w:r w:rsidR="004E65B2">
        <w:t xml:space="preserve"> We describe the various concepts and their timeline during the SR</w:t>
      </w:r>
      <w:r w:rsidR="00BB5903">
        <w:t>B</w:t>
      </w:r>
      <w:r w:rsidR="004E65B2">
        <w:t xml:space="preserve"> development.</w:t>
      </w:r>
    </w:p>
    <w:p w14:paraId="6179065C" w14:textId="77777777" w:rsidR="00D33B44" w:rsidRDefault="00D33B44" w:rsidP="00FD2899"/>
    <w:p w14:paraId="0788594D" w14:textId="1203B156" w:rsidR="002102A1" w:rsidRDefault="002102A1" w:rsidP="002102A1">
      <w:r w:rsidRPr="006D212B">
        <w:rPr>
          <w:b/>
        </w:rPr>
        <w:lastRenderedPageBreak/>
        <w:t xml:space="preserve">Logical File Name </w:t>
      </w:r>
      <w:r w:rsidR="00315C9A">
        <w:rPr>
          <w:b/>
        </w:rPr>
        <w:t xml:space="preserve">and Collection </w:t>
      </w:r>
      <w:r w:rsidRPr="006D212B">
        <w:rPr>
          <w:b/>
        </w:rPr>
        <w:t xml:space="preserve">(1996): </w:t>
      </w:r>
      <w:r>
        <w:t xml:space="preserve">In the SRB data grid, we needed a term that differentiated the name space used to organize distributed data from the names used </w:t>
      </w:r>
      <w:r w:rsidR="009E5E6A">
        <w:t>with</w:t>
      </w:r>
      <w:r>
        <w:t>in the physical file system.  We used the term “logical file name” to denote the identifier for a file as managed by the data grid.  The “logical file name” could be organized into “logical collections”, making it possible to associate files that were stored on different storage systems</w:t>
      </w:r>
      <w:r w:rsidR="009E5E6A">
        <w:t xml:space="preserve"> within the same </w:t>
      </w:r>
      <w:r w:rsidR="00515BD9">
        <w:t xml:space="preserve">logical </w:t>
      </w:r>
      <w:r w:rsidR="009E5E6A">
        <w:t>collection</w:t>
      </w:r>
      <w:r>
        <w:t>.</w:t>
      </w:r>
    </w:p>
    <w:p w14:paraId="14D689C2" w14:textId="77777777" w:rsidR="002102A1" w:rsidRDefault="002102A1" w:rsidP="00FD2899">
      <w:pPr>
        <w:rPr>
          <w:b/>
        </w:rPr>
      </w:pPr>
    </w:p>
    <w:p w14:paraId="3D392B03" w14:textId="056FA674" w:rsidR="00F05161" w:rsidRDefault="006D212B" w:rsidP="00FD2899">
      <w:r>
        <w:rPr>
          <w:b/>
        </w:rPr>
        <w:t>Data Grid (1998</w:t>
      </w:r>
      <w:r w:rsidR="00481667" w:rsidRPr="006D212B">
        <w:rPr>
          <w:b/>
        </w:rPr>
        <w:t>):</w:t>
      </w:r>
      <w:r w:rsidR="00481667">
        <w:t xml:space="preserve">  </w:t>
      </w:r>
      <w:r w:rsidR="00D13569">
        <w:t>A data grid is the software infrastructure that organizes distributed data into a shareable collection.  A paper describing the Storage Resource Broker data grid was presented at the CASCON conference in 1998 [4].  This paper subsequently wo</w:t>
      </w:r>
      <w:r w:rsidR="002102A1">
        <w:t>n an award as one of the top fourteen</w:t>
      </w:r>
      <w:r w:rsidR="00D13569">
        <w:t xml:space="preserve"> </w:t>
      </w:r>
      <w:r>
        <w:t>CASCON First Decade High Impact Papers.</w:t>
      </w:r>
    </w:p>
    <w:p w14:paraId="5533F97D" w14:textId="77777777" w:rsidR="00F05161" w:rsidRPr="006D212B" w:rsidRDefault="00F05161" w:rsidP="00FD2899"/>
    <w:p w14:paraId="47AE17DE" w14:textId="4732FAD8" w:rsidR="00D33B44" w:rsidRDefault="00D33B44" w:rsidP="00FD2899">
      <w:r w:rsidRPr="00E533C0">
        <w:rPr>
          <w:b/>
        </w:rPr>
        <w:t>Middleware</w:t>
      </w:r>
      <w:r w:rsidR="00BB5903">
        <w:rPr>
          <w:b/>
        </w:rPr>
        <w:t xml:space="preserve"> definition</w:t>
      </w:r>
      <w:r w:rsidR="00FB2F62" w:rsidRPr="00E533C0">
        <w:rPr>
          <w:b/>
        </w:rPr>
        <w:t xml:space="preserve"> (1998)</w:t>
      </w:r>
      <w:r w:rsidRPr="00E533C0">
        <w:rPr>
          <w:b/>
        </w:rPr>
        <w:t>:</w:t>
      </w:r>
      <w:r w:rsidR="00481667">
        <w:t xml:space="preserve">  At an NSF middleware workshop, the question of “What is middleware?</w:t>
      </w:r>
      <w:r w:rsidR="00D13569">
        <w:t>” was discussed [5</w:t>
      </w:r>
      <w:r w:rsidR="00481667">
        <w:t>].  The answer based on the SRB data grid was:</w:t>
      </w:r>
    </w:p>
    <w:p w14:paraId="3F235116" w14:textId="5667BCA6" w:rsidR="00481667" w:rsidRDefault="002102A1" w:rsidP="00481667">
      <w:pPr>
        <w:ind w:left="720"/>
      </w:pPr>
      <w:r>
        <w:t>“</w:t>
      </w:r>
      <w:r w:rsidR="00481667">
        <w:t>Middleware is the software system that manages distributed state information.</w:t>
      </w:r>
      <w:r>
        <w:t>”</w:t>
      </w:r>
    </w:p>
    <w:p w14:paraId="30322556" w14:textId="2126F48E" w:rsidR="00481667" w:rsidRDefault="00481667" w:rsidP="00481667">
      <w:r>
        <w:t xml:space="preserve">This definition was extended to include support for </w:t>
      </w:r>
      <w:r w:rsidR="00230C9E">
        <w:t xml:space="preserve">services across the distributed environment, but the relationship of middleware to network infrastructure was not codified. </w:t>
      </w:r>
      <w:r w:rsidR="002102A1">
        <w:t>Data grid m</w:t>
      </w:r>
      <w:r w:rsidR="00230C9E">
        <w:t xml:space="preserve">iddleware manages distributed state information about file location and membership in collections.  </w:t>
      </w:r>
      <w:r w:rsidR="002102A1">
        <w:t xml:space="preserve">Networks also manage distributed state information within their routing tables.  </w:t>
      </w:r>
      <w:r w:rsidR="00230C9E">
        <w:t xml:space="preserve">The resolution of this </w:t>
      </w:r>
      <w:r w:rsidR="00847C0B">
        <w:t>dichotomy</w:t>
      </w:r>
      <w:r w:rsidR="00230C9E">
        <w:t xml:space="preserve"> was recently achieved within the iRODS data grid software, with the integration of policy-based data management with policy-based network routing.  See the concept Software Defined Networks.</w:t>
      </w:r>
    </w:p>
    <w:p w14:paraId="45F723BA" w14:textId="77777777" w:rsidR="00F05161" w:rsidRDefault="00F05161" w:rsidP="00481667"/>
    <w:p w14:paraId="2962038F" w14:textId="11718B56" w:rsidR="00E533C0" w:rsidRDefault="00E533C0" w:rsidP="00481667">
      <w:r w:rsidRPr="00E533C0">
        <w:rPr>
          <w:b/>
        </w:rPr>
        <w:t>Persistent Archive (2000):</w:t>
      </w:r>
      <w:r>
        <w:t xml:space="preserve">  In the Transcontinental Persistent Archive Prototype, a project funded by the National Archives and Records Administration, the DICE group needed a term to describe</w:t>
      </w:r>
      <w:r w:rsidR="00B12875">
        <w:t xml:space="preserve"> the preservation of an archive</w:t>
      </w:r>
      <w:r>
        <w:t xml:space="preserve"> [6].  Note that the word archive (from the computer science discipline) is used to denote the infrastructure that is used to preserve records.  In the preservation community, the word “archives” is used to denote the records that are being preserved.  A “persistent archive” provides a way to archive a collection independently of the preservation environment, and then retrieve the</w:t>
      </w:r>
      <w:r w:rsidR="002102A1">
        <w:t xml:space="preserve"> archives for instantiation of the</w:t>
      </w:r>
      <w:r>
        <w:t xml:space="preserve"> preservation environment on new technology</w:t>
      </w:r>
      <w:r w:rsidR="00315C9A">
        <w:t>, overcoming technology obsolescence</w:t>
      </w:r>
      <w:r>
        <w:t>.</w:t>
      </w:r>
    </w:p>
    <w:p w14:paraId="2BF941FF" w14:textId="77777777" w:rsidR="00E30504" w:rsidRDefault="00E30504" w:rsidP="00481667"/>
    <w:p w14:paraId="14658F6F" w14:textId="2E46B6E8" w:rsidR="00E30504" w:rsidRDefault="00E30504" w:rsidP="00CB5221">
      <w:r w:rsidRPr="00CB5221">
        <w:rPr>
          <w:b/>
        </w:rPr>
        <w:t>Preservation through Interoperability Mechanisms (2000):</w:t>
      </w:r>
      <w:r>
        <w:t xml:space="preserve">  </w:t>
      </w:r>
      <w:r w:rsidR="00CB5221">
        <w:t xml:space="preserve">There is an equivalence between access to heterogeneous resources across space versus access to heterogeneous resources over time.  </w:t>
      </w:r>
      <w:r>
        <w:t>At the point in time when records are migrated to new technology, data grid middleware can provide the interoperability mechanisms that enable access to both the old and the new technology</w:t>
      </w:r>
      <w:r w:rsidR="00F34E35">
        <w:t xml:space="preserve"> [7]</w:t>
      </w:r>
      <w:r>
        <w:t xml:space="preserve">.  Thus preservation infrastructure needs to provide the virtualization mechanisms that abstract </w:t>
      </w:r>
      <w:r w:rsidR="00BB5903">
        <w:t>preservation</w:t>
      </w:r>
      <w:r>
        <w:t xml:space="preserve"> properties from the current choice of storage technology.</w:t>
      </w:r>
      <w:r w:rsidR="00CB5221">
        <w:t xml:space="preserve">  </w:t>
      </w:r>
      <w:r w:rsidR="00315C9A">
        <w:t xml:space="preserve">In a sense, application of interoperability across spatial resources was taken to the next </w:t>
      </w:r>
      <w:r w:rsidR="00315C9A">
        <w:lastRenderedPageBreak/>
        <w:t xml:space="preserve">level </w:t>
      </w:r>
      <w:r w:rsidR="00BB5903">
        <w:t>by</w:t>
      </w:r>
      <w:r w:rsidR="00315C9A">
        <w:t xml:space="preserve"> providing inter</w:t>
      </w:r>
      <w:r w:rsidR="00BB5903">
        <w:t>o</w:t>
      </w:r>
      <w:r w:rsidR="00315C9A">
        <w:t>pera</w:t>
      </w:r>
      <w:r w:rsidR="00BB5903">
        <w:t>b</w:t>
      </w:r>
      <w:r w:rsidR="00315C9A">
        <w:t>ility across t</w:t>
      </w:r>
      <w:r w:rsidR="00BB5903">
        <w:t>ime</w:t>
      </w:r>
      <w:r w:rsidR="00315C9A">
        <w:t xml:space="preserve">. </w:t>
      </w:r>
      <w:r w:rsidR="00BB5903">
        <w:t xml:space="preserve">The </w:t>
      </w:r>
      <w:r w:rsidR="00315C9A">
        <w:t>SRB provided a convenient mechanism for performing th</w:t>
      </w:r>
      <w:r w:rsidR="00BB5903">
        <w:t>e</w:t>
      </w:r>
      <w:r w:rsidR="00315C9A">
        <w:t xml:space="preserve"> temporal jumps in a seamless manner.</w:t>
      </w:r>
      <w:r w:rsidR="002C47A5">
        <w:t xml:space="preserve"> What resulted is an “organic system” that </w:t>
      </w:r>
      <w:r w:rsidR="00BB5903">
        <w:t>enabled migration</w:t>
      </w:r>
      <w:r w:rsidR="002C47A5">
        <w:t xml:space="preserve"> of data objects across time overcoming technology obsolescence through codif</w:t>
      </w:r>
      <w:r w:rsidR="00BB5903">
        <w:t>ication of</w:t>
      </w:r>
      <w:r w:rsidR="002C47A5">
        <w:t xml:space="preserve">  infrastructure independence. </w:t>
      </w:r>
    </w:p>
    <w:p w14:paraId="5678550F" w14:textId="77777777" w:rsidR="002102A1" w:rsidRDefault="002102A1" w:rsidP="00481667"/>
    <w:p w14:paraId="01C49955" w14:textId="4BFB12B8" w:rsidR="00F34E35" w:rsidRDefault="00423818" w:rsidP="00481667">
      <w:r w:rsidRPr="002102A1">
        <w:rPr>
          <w:b/>
        </w:rPr>
        <w:t>Persistent Object</w:t>
      </w:r>
      <w:r w:rsidR="00170212">
        <w:rPr>
          <w:b/>
        </w:rPr>
        <w:t>s (2003</w:t>
      </w:r>
      <w:r w:rsidR="002102A1" w:rsidRPr="002102A1">
        <w:rPr>
          <w:b/>
        </w:rPr>
        <w:t xml:space="preserve">):  </w:t>
      </w:r>
      <w:r w:rsidR="002102A1" w:rsidRPr="002102A1">
        <w:t>Preservation communities</w:t>
      </w:r>
      <w:r w:rsidR="002102A1">
        <w:t xml:space="preserve"> </w:t>
      </w:r>
      <w:r w:rsidR="00B12875">
        <w:t xml:space="preserve">previously </w:t>
      </w:r>
      <w:r w:rsidR="002102A1">
        <w:t>considered two basic approaches for long term preservation: 1) Emulation, in which the supporting software infrastructure was emulated to ensure that the record could be parse</w:t>
      </w:r>
      <w:r w:rsidR="00D3486D">
        <w:t>d</w:t>
      </w:r>
      <w:r w:rsidR="002102A1">
        <w:t xml:space="preserve"> using the original application; 2) Transformative migration, in which the format of the record was transformed to the format that could be parsed by modern display applications.  Persistent objects is a third approach, in which the record is preserved </w:t>
      </w:r>
      <w:r w:rsidR="00D3486D">
        <w:t xml:space="preserve">in an </w:t>
      </w:r>
      <w:r w:rsidR="002102A1">
        <w:t>unaltered</w:t>
      </w:r>
      <w:r w:rsidR="00D3486D">
        <w:t xml:space="preserve"> form, while</w:t>
      </w:r>
      <w:r w:rsidR="002102A1">
        <w:t xml:space="preserve"> the preservation environment virtualizes I/O operations, enabling access to the record by modern access protocols.  This viewpoint considers</w:t>
      </w:r>
      <w:r w:rsidR="00515BD9">
        <w:t xml:space="preserve"> that</w:t>
      </w:r>
      <w:r w:rsidR="002102A1">
        <w:t xml:space="preserve"> the purpose of the preservation environment </w:t>
      </w:r>
      <w:r w:rsidR="00515BD9">
        <w:t>is to provide</w:t>
      </w:r>
      <w:r w:rsidR="00BB5903">
        <w:t xml:space="preserve"> an</w:t>
      </w:r>
      <w:r w:rsidR="002102A1">
        <w:t xml:space="preserve"> interface between an original record and </w:t>
      </w:r>
      <w:r w:rsidR="00BB5903">
        <w:t xml:space="preserve">the </w:t>
      </w:r>
      <w:r w:rsidR="002102A1">
        <w:t xml:space="preserve">ever-changing data management technology. </w:t>
      </w:r>
    </w:p>
    <w:p w14:paraId="68748F4D" w14:textId="77777777" w:rsidR="00F34E35" w:rsidRDefault="00F34E35" w:rsidP="00481667"/>
    <w:p w14:paraId="6FC26C51" w14:textId="584EAFE1" w:rsidR="00170212" w:rsidRDefault="00F34E35" w:rsidP="00481667">
      <w:r>
        <w:rPr>
          <w:noProof/>
        </w:rPr>
        <mc:AlternateContent>
          <mc:Choice Requires="wps">
            <w:drawing>
              <wp:anchor distT="0" distB="0" distL="114300" distR="114300" simplePos="0" relativeHeight="251660288" behindDoc="0" locked="0" layoutInCell="1" allowOverlap="1" wp14:anchorId="72C2F8C3" wp14:editId="4B78BEC7">
                <wp:simplePos x="0" y="0"/>
                <wp:positionH relativeFrom="column">
                  <wp:posOffset>2971800</wp:posOffset>
                </wp:positionH>
                <wp:positionV relativeFrom="paragraph">
                  <wp:posOffset>5715</wp:posOffset>
                </wp:positionV>
                <wp:extent cx="2286000" cy="27146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2714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9EAA5" w14:textId="18283D06" w:rsidR="009F4698" w:rsidRDefault="009F4698">
                            <w:r>
                              <w:rPr>
                                <w:noProof/>
                              </w:rPr>
                              <w:drawing>
                                <wp:inline distT="0" distB="0" distL="0" distR="0" wp14:anchorId="5AB9CAAC" wp14:editId="3971E814">
                                  <wp:extent cx="1938528" cy="1868460"/>
                                  <wp:effectExtent l="25400" t="25400" r="1778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1">
                                            <a:extLst>
                                              <a:ext uri="{28A0092B-C50C-407E-A947-70E740481C1C}">
                                                <a14:useLocalDpi xmlns:a14="http://schemas.microsoft.com/office/drawing/2010/main" val="0"/>
                                              </a:ext>
                                            </a:extLst>
                                          </a:blip>
                                          <a:stretch>
                                            <a:fillRect/>
                                          </a:stretch>
                                        </pic:blipFill>
                                        <pic:spPr>
                                          <a:xfrm>
                                            <a:off x="0" y="0"/>
                                            <a:ext cx="1939230" cy="1869136"/>
                                          </a:xfrm>
                                          <a:prstGeom prst="rect">
                                            <a:avLst/>
                                          </a:prstGeom>
                                          <a:ln>
                                            <a:solidFill>
                                              <a:schemeClr val="tx1"/>
                                            </a:solidFill>
                                          </a:ln>
                                        </pic:spPr>
                                      </pic:pic>
                                    </a:graphicData>
                                  </a:graphic>
                                </wp:inline>
                              </w:drawing>
                            </w:r>
                          </w:p>
                          <w:p w14:paraId="31B4A19F" w14:textId="77777777" w:rsidR="009F4698" w:rsidRDefault="009F4698"/>
                          <w:p w14:paraId="79A92B92" w14:textId="7F3681AC" w:rsidR="009F4698" w:rsidRDefault="009F4698" w:rsidP="00170212">
                            <w:pPr>
                              <w:jc w:val="center"/>
                            </w:pPr>
                            <w:r>
                              <w:t>Figure 2.  Managing Technology Evolution – Persistent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4pt;margin-top:.45pt;width:180pt;height:2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" filled="f" stroked="f">
                <v:textbox>
                  <w:txbxContent>
                    <w:p w14:paraId="31B9EAA5" w14:textId="18283D06" w:rsidR="009F4698" w:rsidRDefault="009F4698">
                      <w:r>
                        <w:rPr>
                          <w:noProof/>
                        </w:rPr>
                        <w:drawing>
                          <wp:inline distT="0" distB="0" distL="0" distR="0" wp14:anchorId="5AB9CAAC" wp14:editId="3971E814">
                            <wp:extent cx="1938528" cy="1868460"/>
                            <wp:effectExtent l="25400" t="25400" r="1778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2">
                                      <a:extLst>
                                        <a:ext uri="{28A0092B-C50C-407E-A947-70E740481C1C}">
                                          <a14:useLocalDpi xmlns:a14="http://schemas.microsoft.com/office/drawing/2010/main" val="0"/>
                                        </a:ext>
                                      </a:extLst>
                                    </a:blip>
                                    <a:stretch>
                                      <a:fillRect/>
                                    </a:stretch>
                                  </pic:blipFill>
                                  <pic:spPr>
                                    <a:xfrm>
                                      <a:off x="0" y="0"/>
                                      <a:ext cx="1939230" cy="1869136"/>
                                    </a:xfrm>
                                    <a:prstGeom prst="rect">
                                      <a:avLst/>
                                    </a:prstGeom>
                                    <a:ln>
                                      <a:solidFill>
                                        <a:schemeClr val="tx1"/>
                                      </a:solidFill>
                                    </a:ln>
                                  </pic:spPr>
                                </pic:pic>
                              </a:graphicData>
                            </a:graphic>
                          </wp:inline>
                        </w:drawing>
                      </w:r>
                    </w:p>
                    <w:p w14:paraId="31B4A19F" w14:textId="77777777" w:rsidR="009F4698" w:rsidRDefault="009F4698"/>
                    <w:p w14:paraId="79A92B92" w14:textId="7F3681AC" w:rsidR="009F4698" w:rsidRDefault="009F4698" w:rsidP="00170212">
                      <w:pPr>
                        <w:jc w:val="center"/>
                      </w:pPr>
                      <w:r>
                        <w:t>Figure 2.  Managing Technology Evolution – Persistent Objects</w:t>
                      </w:r>
                    </w:p>
                  </w:txbxContent>
                </v:textbox>
                <w10:wrap type="square"/>
              </v:shape>
            </w:pict>
          </mc:Fallback>
        </mc:AlternateContent>
      </w:r>
      <w:r w:rsidR="002102A1">
        <w:t>Consider Figure 2.</w:t>
      </w:r>
      <w:r>
        <w:t xml:space="preserve">  </w:t>
      </w:r>
      <w:r w:rsidR="00170212">
        <w:t xml:space="preserve">Data grid technology </w:t>
      </w:r>
      <w:r>
        <w:t>implements persistent objects [8</w:t>
      </w:r>
      <w:r w:rsidR="00170212">
        <w:t xml:space="preserve">] by mapping from </w:t>
      </w:r>
      <w:r w:rsidR="000F5A45">
        <w:t>the actions requested by the display application to the protocol of the storage system where the record is located.  In the iRODS data grid, this concept was extended to include the ability to write a display application in a rule language, ensuring independence from the original operating system that was used to support the display application.</w:t>
      </w:r>
      <w:r w:rsidR="00D3486D">
        <w:t xml:space="preserve">  In both cases, the original record was not changed.  Instead the preservation environment was modified to support interactions with new </w:t>
      </w:r>
      <w:r w:rsidR="00847C0B">
        <w:t>technologies</w:t>
      </w:r>
      <w:r w:rsidR="00D3486D">
        <w:t>.</w:t>
      </w:r>
    </w:p>
    <w:p w14:paraId="144F722F" w14:textId="160E3E96" w:rsidR="000F5A45" w:rsidRDefault="000F5A45" w:rsidP="00481667">
      <w:r>
        <w:br/>
      </w:r>
      <w:r w:rsidRPr="000F5A45">
        <w:rPr>
          <w:b/>
        </w:rPr>
        <w:t>Policy-based Data Management (2006):</w:t>
      </w:r>
      <w:r>
        <w:t xml:space="preserve">  One of the applications of the Storage Resource Broker was in the United Kingdom eScience Data Grid.  The SRB ensured consistency by e</w:t>
      </w:r>
      <w:r w:rsidR="004617EC">
        <w:t>ncoding within the software</w:t>
      </w:r>
      <w:r w:rsidR="00515BD9">
        <w:t xml:space="preserve"> middleware explicit</w:t>
      </w:r>
      <w:r w:rsidR="004617EC">
        <w:t xml:space="preserve"> </w:t>
      </w:r>
      <w:r>
        <w:t xml:space="preserve">management constraints. </w:t>
      </w:r>
      <w:r w:rsidR="004617EC">
        <w:t xml:space="preserve"> The constraints were applied by</w:t>
      </w:r>
      <w:r>
        <w:t xml:space="preserve"> each of the distributed servers, ensuring that the properties of the system were appropriately conserved.  However, within the UK data grid, incommensurate management constraints were needed.  An archive collection was desired in which no changes to records was allowed, not even by the data grid administrator.  Also, a publication collection was desired in which the data grid administrator could replace bad files.  Finally, a research collection was needed in which a researcher could replace files at will.  Three different management policies were needed within the same data grid.</w:t>
      </w:r>
    </w:p>
    <w:p w14:paraId="3F477D0C" w14:textId="77777777" w:rsidR="000F5A45" w:rsidRDefault="000F5A45" w:rsidP="00481667"/>
    <w:p w14:paraId="7505927D" w14:textId="37ED3B13" w:rsidR="004617EC" w:rsidRDefault="00D3486D" w:rsidP="00481667">
      <w:r>
        <w:lastRenderedPageBreak/>
        <w:t>In the</w:t>
      </w:r>
      <w:r w:rsidR="00515BD9">
        <w:t xml:space="preserve"> iRODS</w:t>
      </w:r>
      <w:r>
        <w:t xml:space="preserve"> p</w:t>
      </w:r>
      <w:r w:rsidR="000F5A45">
        <w:t>olicy-based data management system</w:t>
      </w:r>
      <w:r>
        <w:t>, we</w:t>
      </w:r>
      <w:r w:rsidR="000F5A45">
        <w:t xml:space="preserve"> identified each location in the software middleware where consistency constraints were im</w:t>
      </w:r>
      <w:r w:rsidR="00096E48">
        <w:t>posed, and replaced the control software</w:t>
      </w:r>
      <w:r w:rsidR="000F5A45">
        <w:t xml:space="preserve"> with a policy-enforcement point.  On execution of the policy-enforcement point, the system would </w:t>
      </w:r>
      <w:r w:rsidR="004617EC">
        <w:t>retrieve</w:t>
      </w:r>
      <w:r w:rsidR="000F5A45">
        <w:t xml:space="preserve"> the appropriate rule from a rule base, and then execute the associated </w:t>
      </w:r>
      <w:r w:rsidR="004617EC">
        <w:t xml:space="preserve">procedure.  The rule controlled the procedure using state information stored in the data grid metadata catalog.  Thus the rule could retrieve the name of the collection, and then enforce the appropriate deletion policy.  </w:t>
      </w:r>
      <w:r w:rsidR="00BB5903">
        <w:t>This enables</w:t>
      </w:r>
      <w:r>
        <w:t xml:space="preserve"> virtualization of policy management</w:t>
      </w:r>
      <w:r w:rsidR="002C47A5">
        <w:t>, provid</w:t>
      </w:r>
      <w:r w:rsidR="00BB5903">
        <w:t>ing</w:t>
      </w:r>
      <w:r w:rsidR="002C47A5">
        <w:t xml:space="preserve"> both administrators and users with a declarative way </w:t>
      </w:r>
      <w:r w:rsidR="00BB5903">
        <w:t>to</w:t>
      </w:r>
      <w:r w:rsidR="002C47A5">
        <w:t xml:space="preserve"> defin</w:t>
      </w:r>
      <w:r w:rsidR="00BB5903">
        <w:t>e</w:t>
      </w:r>
      <w:r w:rsidR="002C47A5">
        <w:t xml:space="preserve"> and control actions that happen at the data storage level</w:t>
      </w:r>
      <w:r>
        <w:t>.</w:t>
      </w:r>
      <w:r w:rsidR="002C47A5">
        <w:t xml:space="preserve"> Hence, one can view iRODS as defining a new generation of servers that </w:t>
      </w:r>
      <w:r w:rsidR="00BB5903">
        <w:t>is</w:t>
      </w:r>
      <w:r w:rsidR="002C47A5">
        <w:t xml:space="preserve"> completely configurable</w:t>
      </w:r>
      <w:r w:rsidR="00BB5903">
        <w:t xml:space="preserve"> and capable of</w:t>
      </w:r>
      <w:r w:rsidR="002C47A5">
        <w:t xml:space="preserve"> </w:t>
      </w:r>
      <w:r w:rsidR="00096E48">
        <w:t xml:space="preserve">enforcing </w:t>
      </w:r>
      <w:r w:rsidR="002C47A5">
        <w:t>user-centric actions.</w:t>
      </w:r>
    </w:p>
    <w:p w14:paraId="18FB59C0" w14:textId="77777777" w:rsidR="004617EC" w:rsidRDefault="004617EC" w:rsidP="00481667"/>
    <w:p w14:paraId="4E51138F" w14:textId="060C147C" w:rsidR="00F012A2" w:rsidRDefault="00F012A2" w:rsidP="00FD2899">
      <w:r w:rsidRPr="00F012A2">
        <w:rPr>
          <w:b/>
        </w:rPr>
        <w:t>Preservation a</w:t>
      </w:r>
      <w:r>
        <w:rPr>
          <w:b/>
        </w:rPr>
        <w:t>s</w:t>
      </w:r>
      <w:r w:rsidRPr="00F012A2">
        <w:rPr>
          <w:b/>
        </w:rPr>
        <w:t xml:space="preserve"> Communication with the Future (2008):</w:t>
      </w:r>
      <w:r>
        <w:t xml:space="preserve">  The projects sponsored by the National Archives and Records Admi</w:t>
      </w:r>
      <w:r w:rsidR="00096E48">
        <w:t>nistration focused on development of</w:t>
      </w:r>
      <w:r>
        <w:t xml:space="preserve"> an understanding of the principals behind data preservation.  The traditional preserva</w:t>
      </w:r>
      <w:r w:rsidR="007A1672">
        <w:t>tion objectives a</w:t>
      </w:r>
      <w:r>
        <w:t>re authenticity, integrity, chain of custody, and original arrangement.  These objectives are all aspects of a higher level goal, that of enabling communication with the future.  The traditional representation information defined by the Open Archival Information System model provides a context for corr</w:t>
      </w:r>
      <w:r w:rsidR="00096E48">
        <w:t>ectly interpreting a record by a future</w:t>
      </w:r>
      <w:r w:rsidR="009F4DE4">
        <w:t xml:space="preserve"> </w:t>
      </w:r>
      <w:r>
        <w:t>knowledge community</w:t>
      </w:r>
      <w:r w:rsidR="007A1672">
        <w:t xml:space="preserve"> through</w:t>
      </w:r>
      <w:r w:rsidR="008501CA">
        <w:t xml:space="preserve"> creation of</w:t>
      </w:r>
      <w:r w:rsidR="007A1672">
        <w:t xml:space="preserve"> preservation metadata</w:t>
      </w:r>
      <w:r>
        <w:t xml:space="preserve">.  </w:t>
      </w:r>
      <w:r w:rsidR="00E30504">
        <w:t xml:space="preserve">In the future, the knowledge community will have enough information from the associated representation information to correctly interpret a record.  </w:t>
      </w:r>
      <w:r>
        <w:t>This viewpoint needed to be augmented with a characterization of the represent</w:t>
      </w:r>
      <w:r w:rsidR="00E30504">
        <w:t>ation information that describes</w:t>
      </w:r>
      <w:r>
        <w:t xml:space="preserve"> the preservation environment.  Within policy-based data management systems, the environment representation information is characterized by the policies and procedures that are used to manage the records</w:t>
      </w:r>
      <w:r w:rsidR="00096E48">
        <w:t xml:space="preserve"> along with</w:t>
      </w:r>
      <w:r w:rsidR="007A1672">
        <w:t xml:space="preserve"> the associated system state information</w:t>
      </w:r>
      <w:r>
        <w:t>.  It is then possible for an archivist in the future to verify communication from the past, and validate that the preservation objects have been appropriately preserved</w:t>
      </w:r>
      <w:r w:rsidR="00F34E35">
        <w:t xml:space="preserve"> [9]</w:t>
      </w:r>
      <w:r>
        <w:t>.</w:t>
      </w:r>
    </w:p>
    <w:p w14:paraId="43569194" w14:textId="77777777" w:rsidR="007A1672" w:rsidRDefault="007A1672" w:rsidP="00FD2899"/>
    <w:p w14:paraId="6B1BB43A" w14:textId="0230B833" w:rsidR="007A1672" w:rsidRDefault="007A1672" w:rsidP="00FD2899">
      <w:r>
        <w:t>If preservation is communication with the future, then policy-based systems enable verification of the validity of communication from the past.</w:t>
      </w:r>
    </w:p>
    <w:p w14:paraId="20DE10A1" w14:textId="77777777" w:rsidR="007A1672" w:rsidRDefault="007A1672" w:rsidP="00FD2899"/>
    <w:p w14:paraId="41D5B4B1" w14:textId="1F8DCB2E" w:rsidR="00E76BA2" w:rsidRPr="00D3486D" w:rsidRDefault="00D3486D" w:rsidP="003F17BF">
      <w:pPr>
        <w:rPr>
          <w:b/>
        </w:rPr>
      </w:pPr>
      <w:r>
        <w:rPr>
          <w:b/>
        </w:rPr>
        <w:t xml:space="preserve">IV.  </w:t>
      </w:r>
      <w:r w:rsidRPr="00D3486D">
        <w:rPr>
          <w:b/>
        </w:rPr>
        <w:t>Integrated Rule Oriented Data System</w:t>
      </w:r>
    </w:p>
    <w:p w14:paraId="1DB8716A" w14:textId="77777777" w:rsidR="00D3486D" w:rsidRDefault="00D3486D" w:rsidP="003F17BF"/>
    <w:p w14:paraId="00BC5CB6" w14:textId="0BBE104E" w:rsidR="00D3486D" w:rsidRDefault="00D3486D" w:rsidP="003F17BF">
      <w:r>
        <w:t xml:space="preserve">In 2006, the Storage Resource Broker development was </w:t>
      </w:r>
      <w:r w:rsidR="002C47A5">
        <w:t>deprecated</w:t>
      </w:r>
      <w:r>
        <w:t>, in favor of developin</w:t>
      </w:r>
      <w:r w:rsidR="00096E48">
        <w:t xml:space="preserve">g an Open Source version of </w:t>
      </w:r>
      <w:r>
        <w:t xml:space="preserve">data grid technology.  At the same time, a decision was made to go beyond data and information virtualization, to also support knowledge virtualization.  The basic approach was to turn policies into computer actionable rules, </w:t>
      </w:r>
      <w:r w:rsidR="00096E48">
        <w:t xml:space="preserve">turn procedures into computer executable workflows, </w:t>
      </w:r>
      <w:r>
        <w:t>and use policy enforcement points to decide when policies should be applied.</w:t>
      </w:r>
    </w:p>
    <w:p w14:paraId="3046E032" w14:textId="77777777" w:rsidR="00D3486D" w:rsidRDefault="00D3486D" w:rsidP="003F17BF"/>
    <w:p w14:paraId="23C61B1B" w14:textId="1E3A5248" w:rsidR="00D3486D" w:rsidRDefault="00D3486D" w:rsidP="00D3486D">
      <w:r>
        <w:rPr>
          <w:noProof/>
        </w:rPr>
        <w:lastRenderedPageBreak/>
        <mc:AlternateContent>
          <mc:Choice Requires="wps">
            <w:drawing>
              <wp:anchor distT="0" distB="0" distL="114300" distR="114300" simplePos="0" relativeHeight="251666432" behindDoc="0" locked="0" layoutInCell="1" allowOverlap="1" wp14:anchorId="0675CFE7" wp14:editId="221E4CA4">
                <wp:simplePos x="0" y="0"/>
                <wp:positionH relativeFrom="column">
                  <wp:posOffset>457200</wp:posOffset>
                </wp:positionH>
                <wp:positionV relativeFrom="paragraph">
                  <wp:posOffset>914400</wp:posOffset>
                </wp:positionV>
                <wp:extent cx="4572000" cy="2971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720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8C9BE" w14:textId="77777777" w:rsidR="009F4698" w:rsidRDefault="009F4698" w:rsidP="00D3486D">
                            <w:pPr>
                              <w:jc w:val="center"/>
                            </w:pPr>
                            <w:r w:rsidRPr="00423818">
                              <w:rPr>
                                <w:noProof/>
                              </w:rPr>
                              <w:drawing>
                                <wp:inline distT="0" distB="0" distL="0" distR="0" wp14:anchorId="1678129C" wp14:editId="176E9935">
                                  <wp:extent cx="4348480" cy="2642306"/>
                                  <wp:effectExtent l="25400" t="25400" r="2032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3">
                                            <a:extLst>
                                              <a:ext uri="{28A0092B-C50C-407E-A947-70E740481C1C}">
                                                <a14:useLocalDpi xmlns:a14="http://schemas.microsoft.com/office/drawing/2010/main" val="0"/>
                                              </a:ext>
                                            </a:extLst>
                                          </a:blip>
                                          <a:stretch>
                                            <a:fillRect/>
                                          </a:stretch>
                                        </pic:blipFill>
                                        <pic:spPr>
                                          <a:xfrm>
                                            <a:off x="0" y="0"/>
                                            <a:ext cx="4348480" cy="2642306"/>
                                          </a:xfrm>
                                          <a:prstGeom prst="rect">
                                            <a:avLst/>
                                          </a:prstGeom>
                                          <a:ln>
                                            <a:solidFill>
                                              <a:schemeClr val="tx1"/>
                                            </a:solidFill>
                                          </a:ln>
                                        </pic:spPr>
                                      </pic:pic>
                                    </a:graphicData>
                                  </a:graphic>
                                </wp:inline>
                              </w:drawing>
                            </w:r>
                          </w:p>
                          <w:p w14:paraId="31B02BBB" w14:textId="77777777" w:rsidR="009F4698" w:rsidRDefault="009F4698" w:rsidP="00D3486D">
                            <w:pPr>
                              <w:jc w:val="center"/>
                            </w:pPr>
                            <w:r>
                              <w:t>Figure 3.  Policy-based Data Management Architecture</w:t>
                            </w:r>
                          </w:p>
                          <w:p w14:paraId="4E8A7721" w14:textId="77777777" w:rsidR="009F4698" w:rsidRDefault="009F4698" w:rsidP="00D3486D">
                            <w:pPr>
                              <w:jc w:val="center"/>
                            </w:pPr>
                          </w:p>
                          <w:p w14:paraId="310910CB" w14:textId="77777777" w:rsidR="009F4698" w:rsidRDefault="009F4698" w:rsidP="00D3486D">
                            <w:pPr>
                              <w:jc w:val="center"/>
                            </w:pPr>
                          </w:p>
                          <w:p w14:paraId="43D6137D" w14:textId="77777777" w:rsidR="009F4698" w:rsidRDefault="009F4698" w:rsidP="00D3486D">
                            <w:pPr>
                              <w:jc w:val="center"/>
                            </w:pPr>
                          </w:p>
                          <w:p w14:paraId="06B670CA" w14:textId="77777777" w:rsidR="009F4698" w:rsidRDefault="009F4698" w:rsidP="00D3486D">
                            <w:pPr>
                              <w:jc w:val="center"/>
                            </w:pPr>
                          </w:p>
                          <w:p w14:paraId="2011A8B6" w14:textId="77777777" w:rsidR="009F4698" w:rsidRDefault="009F4698" w:rsidP="00D3486D">
                            <w:pPr>
                              <w:jc w:val="center"/>
                            </w:pPr>
                          </w:p>
                          <w:p w14:paraId="608211DA" w14:textId="77777777" w:rsidR="009F4698" w:rsidRDefault="009F4698" w:rsidP="00D3486D">
                            <w:pPr>
                              <w:jc w:val="center"/>
                            </w:pPr>
                          </w:p>
                          <w:p w14:paraId="78F3B9D3" w14:textId="77777777" w:rsidR="009F4698" w:rsidRDefault="009F4698" w:rsidP="00D3486D">
                            <w:pPr>
                              <w:jc w:val="center"/>
                            </w:pPr>
                          </w:p>
                          <w:p w14:paraId="392CC77E" w14:textId="77777777" w:rsidR="009F4698" w:rsidRDefault="009F4698" w:rsidP="00D3486D">
                            <w:pPr>
                              <w:jc w:val="center"/>
                            </w:pPr>
                          </w:p>
                          <w:p w14:paraId="05EDFFB9" w14:textId="77777777" w:rsidR="009F4698" w:rsidRDefault="009F4698" w:rsidP="00D348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1in;width:5in;height:2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ZTdACAAAW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" filled="f" stroked="f">
                <v:textbox>
                  <w:txbxContent>
                    <w:p w14:paraId="0388C9BE" w14:textId="77777777" w:rsidR="009F4698" w:rsidRDefault="009F4698" w:rsidP="00D3486D">
                      <w:pPr>
                        <w:jc w:val="center"/>
                      </w:pPr>
                      <w:r w:rsidRPr="00423818">
                        <w:rPr>
                          <w:noProof/>
                        </w:rPr>
                        <w:drawing>
                          <wp:inline distT="0" distB="0" distL="0" distR="0" wp14:anchorId="1678129C" wp14:editId="176E9935">
                            <wp:extent cx="4348480" cy="2642306"/>
                            <wp:effectExtent l="25400" t="25400" r="2032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4">
                                      <a:extLst>
                                        <a:ext uri="{28A0092B-C50C-407E-A947-70E740481C1C}">
                                          <a14:useLocalDpi xmlns:a14="http://schemas.microsoft.com/office/drawing/2010/main" val="0"/>
                                        </a:ext>
                                      </a:extLst>
                                    </a:blip>
                                    <a:stretch>
                                      <a:fillRect/>
                                    </a:stretch>
                                  </pic:blipFill>
                                  <pic:spPr>
                                    <a:xfrm>
                                      <a:off x="0" y="0"/>
                                      <a:ext cx="4348480" cy="2642306"/>
                                    </a:xfrm>
                                    <a:prstGeom prst="rect">
                                      <a:avLst/>
                                    </a:prstGeom>
                                    <a:ln>
                                      <a:solidFill>
                                        <a:schemeClr val="tx1"/>
                                      </a:solidFill>
                                    </a:ln>
                                  </pic:spPr>
                                </pic:pic>
                              </a:graphicData>
                            </a:graphic>
                          </wp:inline>
                        </w:drawing>
                      </w:r>
                    </w:p>
                    <w:p w14:paraId="31B02BBB" w14:textId="77777777" w:rsidR="009F4698" w:rsidRDefault="009F4698" w:rsidP="00D3486D">
                      <w:pPr>
                        <w:jc w:val="center"/>
                      </w:pPr>
                      <w:r>
                        <w:t>Figure 3.  Policy-based Data Management Architecture</w:t>
                      </w:r>
                    </w:p>
                    <w:p w14:paraId="4E8A7721" w14:textId="77777777" w:rsidR="009F4698" w:rsidRDefault="009F4698" w:rsidP="00D3486D">
                      <w:pPr>
                        <w:jc w:val="center"/>
                      </w:pPr>
                    </w:p>
                    <w:p w14:paraId="310910CB" w14:textId="77777777" w:rsidR="009F4698" w:rsidRDefault="009F4698" w:rsidP="00D3486D">
                      <w:pPr>
                        <w:jc w:val="center"/>
                      </w:pPr>
                    </w:p>
                    <w:p w14:paraId="43D6137D" w14:textId="77777777" w:rsidR="009F4698" w:rsidRDefault="009F4698" w:rsidP="00D3486D">
                      <w:pPr>
                        <w:jc w:val="center"/>
                      </w:pPr>
                    </w:p>
                    <w:p w14:paraId="06B670CA" w14:textId="77777777" w:rsidR="009F4698" w:rsidRDefault="009F4698" w:rsidP="00D3486D">
                      <w:pPr>
                        <w:jc w:val="center"/>
                      </w:pPr>
                    </w:p>
                    <w:p w14:paraId="2011A8B6" w14:textId="77777777" w:rsidR="009F4698" w:rsidRDefault="009F4698" w:rsidP="00D3486D">
                      <w:pPr>
                        <w:jc w:val="center"/>
                      </w:pPr>
                    </w:p>
                    <w:p w14:paraId="608211DA" w14:textId="77777777" w:rsidR="009F4698" w:rsidRDefault="009F4698" w:rsidP="00D3486D">
                      <w:pPr>
                        <w:jc w:val="center"/>
                      </w:pPr>
                    </w:p>
                    <w:p w14:paraId="78F3B9D3" w14:textId="77777777" w:rsidR="009F4698" w:rsidRDefault="009F4698" w:rsidP="00D3486D">
                      <w:pPr>
                        <w:jc w:val="center"/>
                      </w:pPr>
                    </w:p>
                    <w:p w14:paraId="392CC77E" w14:textId="77777777" w:rsidR="009F4698" w:rsidRDefault="009F4698" w:rsidP="00D3486D">
                      <w:pPr>
                        <w:jc w:val="center"/>
                      </w:pPr>
                    </w:p>
                    <w:p w14:paraId="05EDFFB9" w14:textId="77777777" w:rsidR="009F4698" w:rsidRDefault="009F4698" w:rsidP="00D3486D">
                      <w:pPr>
                        <w:jc w:val="center"/>
                      </w:pPr>
                    </w:p>
                  </w:txbxContent>
                </v:textbox>
                <w10:wrap type="square"/>
              </v:shape>
            </w:pict>
          </mc:Fallback>
        </mc:AlternateContent>
      </w:r>
      <w:r>
        <w:t>The architecture of the policy-based data managem</w:t>
      </w:r>
      <w:r w:rsidR="008501CA">
        <w:t>ent systems</w:t>
      </w:r>
      <w:r>
        <w:t xml:space="preserve"> was similar to the SRB</w:t>
      </w:r>
      <w:r w:rsidR="008501CA">
        <w:t>, as shown in Figure 3</w:t>
      </w:r>
      <w:r>
        <w:t>.  Multiple peer-to-peer servers managed interactions with remote storage locations, and a central metadata catalog stored state information in a relational database.  The integrated Rule-Oriented Data System (iRODS) also implemented servers to manage message passing, and</w:t>
      </w:r>
      <w:r w:rsidR="008501CA">
        <w:t xml:space="preserve"> to</w:t>
      </w:r>
      <w:r>
        <w:t xml:space="preserve"> manage a queue</w:t>
      </w:r>
      <w:r w:rsidR="00F34E35">
        <w:t xml:space="preserve"> of outstanding rule requests [10</w:t>
      </w:r>
      <w:r>
        <w:t>].</w:t>
      </w:r>
    </w:p>
    <w:p w14:paraId="37E9C514" w14:textId="77777777" w:rsidR="008501CA" w:rsidRDefault="008501CA" w:rsidP="00D3486D"/>
    <w:p w14:paraId="020AA391" w14:textId="1B25D768" w:rsidR="00D3486D" w:rsidRDefault="00F34E35" w:rsidP="00D3486D">
      <w:r>
        <w:rPr>
          <w:noProof/>
        </w:rPr>
        <mc:AlternateContent>
          <mc:Choice Requires="wps">
            <w:drawing>
              <wp:anchor distT="0" distB="0" distL="114300" distR="114300" simplePos="0" relativeHeight="251667456" behindDoc="0" locked="0" layoutInCell="1" allowOverlap="1" wp14:anchorId="7ED2E64A" wp14:editId="42683984">
                <wp:simplePos x="0" y="0"/>
                <wp:positionH relativeFrom="column">
                  <wp:posOffset>2743200</wp:posOffset>
                </wp:positionH>
                <wp:positionV relativeFrom="paragraph">
                  <wp:posOffset>1198245</wp:posOffset>
                </wp:positionV>
                <wp:extent cx="2971800" cy="2412365"/>
                <wp:effectExtent l="0" t="0" r="0" b="635"/>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2412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83204" w14:textId="77777777" w:rsidR="009F4698" w:rsidRDefault="009F4698" w:rsidP="00D3486D">
                            <w:pPr>
                              <w:jc w:val="center"/>
                            </w:pPr>
                            <w:r>
                              <w:rPr>
                                <w:noProof/>
                              </w:rPr>
                              <w:drawing>
                                <wp:inline distT="0" distB="0" distL="0" distR="0" wp14:anchorId="0C86AFB6" wp14:editId="42335F9C">
                                  <wp:extent cx="2548255" cy="2081794"/>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9686" cy="2082963"/>
                                          </a:xfrm>
                                          <a:prstGeom prst="rect">
                                            <a:avLst/>
                                          </a:prstGeom>
                                          <a:noFill/>
                                          <a:ln>
                                            <a:noFill/>
                                          </a:ln>
                                        </pic:spPr>
                                      </pic:pic>
                                    </a:graphicData>
                                  </a:graphic>
                                </wp:inline>
                              </w:drawing>
                            </w:r>
                          </w:p>
                          <w:p w14:paraId="445F066F" w14:textId="1D31F1D8" w:rsidR="009F4698" w:rsidRDefault="009F4698" w:rsidP="00F34E35">
                            <w:pPr>
                              <w:jc w:val="center"/>
                            </w:pPr>
                            <w:r>
                              <w:t>Figure 4.  File System Characterization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in;margin-top:94.35pt;width:234pt;height:18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aj9M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" filled="f" stroked="f">
                <v:textbox>
                  <w:txbxContent>
                    <w:p w14:paraId="08F83204" w14:textId="77777777" w:rsidR="009F4698" w:rsidRDefault="009F4698" w:rsidP="00D3486D">
                      <w:pPr>
                        <w:jc w:val="center"/>
                      </w:pPr>
                      <w:r>
                        <w:rPr>
                          <w:noProof/>
                        </w:rPr>
                        <w:drawing>
                          <wp:inline distT="0" distB="0" distL="0" distR="0" wp14:anchorId="0C86AFB6" wp14:editId="42335F9C">
                            <wp:extent cx="2548255" cy="2081794"/>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9686" cy="2082963"/>
                                    </a:xfrm>
                                    <a:prstGeom prst="rect">
                                      <a:avLst/>
                                    </a:prstGeom>
                                    <a:noFill/>
                                    <a:ln>
                                      <a:noFill/>
                                    </a:ln>
                                  </pic:spPr>
                                </pic:pic>
                              </a:graphicData>
                            </a:graphic>
                          </wp:inline>
                        </w:drawing>
                      </w:r>
                    </w:p>
                    <w:p w14:paraId="445F066F" w14:textId="1D31F1D8" w:rsidR="009F4698" w:rsidRDefault="009F4698" w:rsidP="00F34E35">
                      <w:pPr>
                        <w:jc w:val="center"/>
                      </w:pPr>
                      <w:r>
                        <w:t>Figure 4.  File System Characterization</w:t>
                      </w:r>
                    </w:p>
                  </w:txbxContent>
                </v:textbox>
                <w10:wrap type="square"/>
              </v:shape>
            </w:pict>
          </mc:Fallback>
        </mc:AlternateContent>
      </w:r>
      <w:r w:rsidR="00D3486D">
        <w:t>A comparison of policy-based systems with distributed data management systems shows how the concepts related to data management have been evolving.  Figure 4 illustrates the central concepts behind traditional file systems, and also behind the Storage Resource Broker.  External events interact with the data management system through a well defined protocol.  The data management system uses state information to control the execution of operations on the stored files, and the state information is appropriately updated.</w:t>
      </w:r>
      <w:r>
        <w:t xml:space="preserve">  The file system </w:t>
      </w:r>
      <w:r w:rsidR="002C47A5">
        <w:t xml:space="preserve">(i-nodes, v-nodes, etc.) </w:t>
      </w:r>
      <w:r>
        <w:t>environ</w:t>
      </w:r>
      <w:r w:rsidR="00973F57">
        <w:t xml:space="preserve">ment in some sense is synonymous with the state information that is managed about the files.  A key component of a file system is the consistent update of the state information after every operation that is performed upon the files.  The SRB </w:t>
      </w:r>
      <w:r w:rsidR="002C47A5">
        <w:t xml:space="preserve">answered </w:t>
      </w:r>
      <w:r w:rsidR="00973F57">
        <w:t>the challenge of self-consistent update of state information in a distributed environment, across heterogeneous storage systems, across multiple administrative domains.</w:t>
      </w:r>
    </w:p>
    <w:p w14:paraId="49AEE7C1" w14:textId="77777777" w:rsidR="00AB6BC9" w:rsidRDefault="00AB6BC9" w:rsidP="00D3486D"/>
    <w:p w14:paraId="6D7173C4" w14:textId="4C8D615E" w:rsidR="00D3486D" w:rsidRDefault="00973F57" w:rsidP="00D3486D">
      <w:r>
        <w:rPr>
          <w:noProof/>
        </w:rPr>
        <w:lastRenderedPageBreak/>
        <mc:AlternateContent>
          <mc:Choice Requires="wps">
            <w:drawing>
              <wp:anchor distT="0" distB="0" distL="114300" distR="114300" simplePos="0" relativeHeight="251668480" behindDoc="0" locked="0" layoutInCell="1" allowOverlap="1" wp14:anchorId="69317CA2" wp14:editId="6B3590C6">
                <wp:simplePos x="0" y="0"/>
                <wp:positionH relativeFrom="column">
                  <wp:posOffset>2743200</wp:posOffset>
                </wp:positionH>
                <wp:positionV relativeFrom="paragraph">
                  <wp:posOffset>0</wp:posOffset>
                </wp:positionV>
                <wp:extent cx="2971800" cy="26200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26200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1C5C3" w14:textId="77777777" w:rsidR="009F4698" w:rsidRDefault="009F4698" w:rsidP="00D3486D">
                            <w:pPr>
                              <w:jc w:val="center"/>
                            </w:pPr>
                            <w:r>
                              <w:rPr>
                                <w:noProof/>
                              </w:rPr>
                              <w:drawing>
                                <wp:inline distT="0" distB="0" distL="0" distR="0" wp14:anchorId="3D7A624B" wp14:editId="1F4BD3B3">
                                  <wp:extent cx="2451997" cy="1998096"/>
                                  <wp:effectExtent l="0" t="0" r="12065"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2293" cy="1998337"/>
                                          </a:xfrm>
                                          <a:prstGeom prst="rect">
                                            <a:avLst/>
                                          </a:prstGeom>
                                          <a:noFill/>
                                          <a:ln>
                                            <a:noFill/>
                                          </a:ln>
                                        </pic:spPr>
                                      </pic:pic>
                                    </a:graphicData>
                                  </a:graphic>
                                </wp:inline>
                              </w:drawing>
                            </w:r>
                          </w:p>
                          <w:p w14:paraId="766C8D6C" w14:textId="77777777" w:rsidR="009F4698" w:rsidRDefault="009F4698" w:rsidP="00D3486D">
                            <w:pPr>
                              <w:jc w:val="center"/>
                            </w:pPr>
                            <w:r>
                              <w:t>Figure 5.  Policy-based System Characterization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3in;margin-top:0;width:234pt;height:20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" filled="f" stroked="f">
                <v:textbox>
                  <w:txbxContent>
                    <w:p w14:paraId="3EE1C5C3" w14:textId="77777777" w:rsidR="009F4698" w:rsidRDefault="009F4698" w:rsidP="00D3486D">
                      <w:pPr>
                        <w:jc w:val="center"/>
                      </w:pPr>
                      <w:r>
                        <w:rPr>
                          <w:noProof/>
                        </w:rPr>
                        <w:drawing>
                          <wp:inline distT="0" distB="0" distL="0" distR="0" wp14:anchorId="3D7A624B" wp14:editId="1F4BD3B3">
                            <wp:extent cx="2451997" cy="1998096"/>
                            <wp:effectExtent l="0" t="0" r="12065"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2293" cy="1998337"/>
                                    </a:xfrm>
                                    <a:prstGeom prst="rect">
                                      <a:avLst/>
                                    </a:prstGeom>
                                    <a:noFill/>
                                    <a:ln>
                                      <a:noFill/>
                                    </a:ln>
                                  </pic:spPr>
                                </pic:pic>
                              </a:graphicData>
                            </a:graphic>
                          </wp:inline>
                        </w:drawing>
                      </w:r>
                    </w:p>
                    <w:p w14:paraId="766C8D6C" w14:textId="77777777" w:rsidR="009F4698" w:rsidRDefault="009F4698" w:rsidP="00D3486D">
                      <w:pPr>
                        <w:jc w:val="center"/>
                      </w:pPr>
                      <w:r>
                        <w:t>Figure 5.  Policy-based System Characterization</w:t>
                      </w:r>
                    </w:p>
                  </w:txbxContent>
                </v:textbox>
                <w10:wrap type="square"/>
              </v:shape>
            </w:pict>
          </mc:Fallback>
        </mc:AlternateContent>
      </w:r>
      <w:r w:rsidR="00D3486D">
        <w:t xml:space="preserve">In policy-based data management systems, operations are replaced by policies that control updates through procedures, and files are replaced by objects that may include workflows, </w:t>
      </w:r>
      <w:r w:rsidR="001406EB">
        <w:t>active or realized objects</w:t>
      </w:r>
      <w:r w:rsidR="00D3486D">
        <w:t xml:space="preserve">, </w:t>
      </w:r>
      <w:r w:rsidR="00665066">
        <w:t xml:space="preserve">and </w:t>
      </w:r>
      <w:r w:rsidR="00D3486D">
        <w:t>databases, as well as files.  Figure 5 lists the characteristics of policy-based data management, representing the evolution from traditional file-based systems to information and knowledge based systems.</w:t>
      </w:r>
      <w:r>
        <w:t xml:space="preserve">  As before, the data management environment is synonymous with the consistent management of state information.  However, in the policy-based system, the environment is governed by the set of policies that are implemented as computer actionable rules.  Thus a description of the environment must include not only the state information, but also the policies and procedures that are being enforced.</w:t>
      </w:r>
      <w:r w:rsidR="004E65B2">
        <w:t xml:space="preserve"> Similar to </w:t>
      </w:r>
      <w:r w:rsidR="00665066">
        <w:t xml:space="preserve">the </w:t>
      </w:r>
      <w:r w:rsidR="004E65B2">
        <w:t xml:space="preserve">SRB, </w:t>
      </w:r>
      <w:r w:rsidR="00665066">
        <w:t xml:space="preserve">the development of </w:t>
      </w:r>
      <w:r w:rsidR="004E65B2">
        <w:t xml:space="preserve">iRODS also </w:t>
      </w:r>
      <w:r w:rsidR="00665066">
        <w:t>required</w:t>
      </w:r>
      <w:r w:rsidR="004E65B2">
        <w:t xml:space="preserve"> several new concepts</w:t>
      </w:r>
      <w:r w:rsidR="00665066">
        <w:t>, which</w:t>
      </w:r>
      <w:r w:rsidR="004E65B2">
        <w:t xml:space="preserve"> we descri</w:t>
      </w:r>
      <w:r w:rsidR="00665066">
        <w:t>b</w:t>
      </w:r>
      <w:r w:rsidR="004E65B2">
        <w:t>e along</w:t>
      </w:r>
      <w:r w:rsidR="00665066">
        <w:t xml:space="preserve"> with</w:t>
      </w:r>
      <w:r w:rsidR="004E65B2">
        <w:t xml:space="preserve"> a timeline. </w:t>
      </w:r>
    </w:p>
    <w:p w14:paraId="4D1A42FD" w14:textId="77777777" w:rsidR="00D3486D" w:rsidRDefault="00D3486D" w:rsidP="003F17BF"/>
    <w:p w14:paraId="253F97AC" w14:textId="509D5A5B" w:rsidR="00F34E35" w:rsidRDefault="00F34E35" w:rsidP="00F34E35">
      <w:r w:rsidRPr="003F17BF">
        <w:rPr>
          <w:b/>
        </w:rPr>
        <w:t xml:space="preserve">Computer Actionable Knowledge (2012):  </w:t>
      </w:r>
      <w:r>
        <w:t>A major goal of data grid technology has been the extension of data management systems to also support information management and knowledge management through computer actionable forms.  The Storage Resource Broker augmented data management with information management, by associating state informa</w:t>
      </w:r>
      <w:r w:rsidR="00AB6BC9">
        <w:t>tion as metadata attributes on</w:t>
      </w:r>
      <w:r>
        <w:t xml:space="preserve"> an appropriate name space.  The types of information that were managed included provenance information, descriptive</w:t>
      </w:r>
      <w:r w:rsidR="00665066">
        <w:t xml:space="preserve"> </w:t>
      </w:r>
      <w:r>
        <w:t xml:space="preserve">information, representation information, and system </w:t>
      </w:r>
      <w:r w:rsidR="00847C0B">
        <w:t>administrative</w:t>
      </w:r>
      <w:r>
        <w:t xml:space="preserve"> information.</w:t>
      </w:r>
    </w:p>
    <w:p w14:paraId="13AA5603" w14:textId="77777777" w:rsidR="00F34E35" w:rsidRDefault="00F34E35" w:rsidP="00F34E35"/>
    <w:p w14:paraId="08B2713B" w14:textId="40657828" w:rsidR="00F34E35" w:rsidRPr="003F17BF" w:rsidRDefault="00F34E35" w:rsidP="00F34E35">
      <w:r>
        <w:t>Policy-based d</w:t>
      </w:r>
      <w:r w:rsidR="00973F57">
        <w:t>ata management systems augment</w:t>
      </w:r>
      <w:r>
        <w:t xml:space="preserve"> information management with knowledge management.  The knowledge required to execute a protocol, or manipulate a file, o</w:t>
      </w:r>
      <w:r w:rsidR="00973F57">
        <w:t xml:space="preserve">r access a remote repository </w:t>
      </w:r>
      <w:r w:rsidR="00665066">
        <w:t>is</w:t>
      </w:r>
      <w:r w:rsidR="00973F57">
        <w:t xml:space="preserve"> encapsulated in </w:t>
      </w:r>
      <w:r>
        <w:t>procedure</w:t>
      </w:r>
      <w:r w:rsidR="00973F57">
        <w:t>s</w:t>
      </w:r>
      <w:r>
        <w:t xml:space="preserve">, </w:t>
      </w:r>
      <w:r w:rsidR="00973F57">
        <w:t>known as</w:t>
      </w:r>
      <w:r w:rsidRPr="003F17BF">
        <w:t xml:space="preserve"> micro-service</w:t>
      </w:r>
      <w:r w:rsidR="00973F57">
        <w:t>s</w:t>
      </w:r>
      <w:r w:rsidRPr="003F17BF">
        <w:t xml:space="preserve">. </w:t>
      </w:r>
      <w:r w:rsidR="001406EB">
        <w:t xml:space="preserve">In a sense, a file (or object) is not viewed in isolation, </w:t>
      </w:r>
      <w:r w:rsidR="00665066">
        <w:t>b</w:t>
      </w:r>
      <w:r w:rsidR="001406EB">
        <w:t>ut along with all policies and procedures that governs its usage and existence.</w:t>
      </w:r>
      <w:r w:rsidRPr="003F17BF">
        <w:t xml:space="preserve"> The a</w:t>
      </w:r>
      <w:r w:rsidR="00973F57">
        <w:t>pplication of knowledge requires</w:t>
      </w:r>
      <w:r w:rsidRPr="003F17BF">
        <w:t xml:space="preserve"> the </w:t>
      </w:r>
      <w:r w:rsidR="00973F57">
        <w:t>dynamic execution of procedure</w:t>
      </w:r>
      <w:r w:rsidR="001406EB">
        <w:t>s</w:t>
      </w:r>
      <w:r w:rsidR="00973F57">
        <w:t xml:space="preserve">.  The result of the </w:t>
      </w:r>
      <w:r w:rsidR="001406EB">
        <w:t xml:space="preserve">execution </w:t>
      </w:r>
      <w:r w:rsidR="00973F57">
        <w:t>i</w:t>
      </w:r>
      <w:r w:rsidRPr="003F17BF">
        <w:t xml:space="preserve">s stored as system state information, and </w:t>
      </w:r>
      <w:r w:rsidR="00973F57">
        <w:t xml:space="preserve">is </w:t>
      </w:r>
      <w:r w:rsidRPr="003F17BF">
        <w:t>assigned as metadata on objects within a name space.  In effect, the reifica</w:t>
      </w:r>
      <w:r w:rsidR="00973F57">
        <w:t>tion of a knowledge procedure i</w:t>
      </w:r>
      <w:r w:rsidRPr="003F17BF">
        <w:t xml:space="preserve">s </w:t>
      </w:r>
      <w:r w:rsidR="00973F57">
        <w:t>turned into administrative information that is stored as</w:t>
      </w:r>
      <w:r w:rsidRPr="003F17BF">
        <w:t xml:space="preserve"> metadata</w:t>
      </w:r>
      <w:r w:rsidR="00973F57">
        <w:t xml:space="preserve"> in a relational database</w:t>
      </w:r>
      <w:r w:rsidRPr="003F17BF">
        <w:t>.</w:t>
      </w:r>
      <w:r w:rsidR="00B41E37">
        <w:t xml:space="preserve"> One can view</w:t>
      </w:r>
      <w:r w:rsidR="001406EB">
        <w:t xml:space="preserve"> the metadata as inherent properties </w:t>
      </w:r>
      <w:r w:rsidR="00B41E37">
        <w:t>(la</w:t>
      </w:r>
      <w:r w:rsidR="00665066">
        <w:t>b</w:t>
      </w:r>
      <w:r w:rsidR="00B41E37">
        <w:t xml:space="preserve">els) </w:t>
      </w:r>
      <w:r w:rsidR="001406EB">
        <w:t>o</w:t>
      </w:r>
      <w:r w:rsidR="00665066">
        <w:t>n</w:t>
      </w:r>
      <w:r w:rsidR="001406EB">
        <w:t xml:space="preserve"> the objects </w:t>
      </w:r>
      <w:r w:rsidR="00B41E37">
        <w:t>that</w:t>
      </w:r>
      <w:r w:rsidR="001406EB">
        <w:t xml:space="preserve"> codify the derived knowledge obtained through application of procedures.</w:t>
      </w:r>
    </w:p>
    <w:p w14:paraId="40AEAA7E" w14:textId="77777777" w:rsidR="00F34E35" w:rsidRPr="003F17BF" w:rsidRDefault="00F34E35" w:rsidP="00F34E35"/>
    <w:p w14:paraId="07CF773F" w14:textId="0663BCF5" w:rsidR="00F34E35" w:rsidRPr="003F17BF" w:rsidRDefault="00F34E35" w:rsidP="00F34E35">
      <w:r w:rsidRPr="003F17BF">
        <w:t>This app</w:t>
      </w:r>
      <w:r w:rsidR="00AB6BC9">
        <w:t>roach to knowledge management through</w:t>
      </w:r>
      <w:r w:rsidRPr="003F17BF">
        <w:t xml:space="preserve"> computer actionable forms can be quantified as follows:</w:t>
      </w:r>
    </w:p>
    <w:p w14:paraId="3D1E6CB3" w14:textId="77777777" w:rsidR="00F34E35" w:rsidRPr="003F17BF" w:rsidRDefault="00F34E35" w:rsidP="00F34E35">
      <w:pPr>
        <w:pStyle w:val="BodyTextIndent"/>
        <w:numPr>
          <w:ilvl w:val="0"/>
          <w:numId w:val="7"/>
        </w:numPr>
        <w:spacing w:after="120"/>
        <w:rPr>
          <w:rFonts w:asciiTheme="minorHAnsi" w:hAnsiTheme="minorHAnsi"/>
          <w:sz w:val="24"/>
          <w:szCs w:val="24"/>
        </w:rPr>
      </w:pPr>
      <w:r w:rsidRPr="003F17BF">
        <w:rPr>
          <w:rFonts w:asciiTheme="minorHAnsi" w:hAnsiTheme="minorHAnsi"/>
          <w:sz w:val="24"/>
          <w:szCs w:val="24"/>
        </w:rPr>
        <w:t>Data</w:t>
      </w:r>
      <w:r w:rsidRPr="003F17BF">
        <w:rPr>
          <w:rFonts w:asciiTheme="minorHAnsi" w:hAnsiTheme="minorHAnsi"/>
          <w:sz w:val="24"/>
          <w:szCs w:val="24"/>
        </w:rPr>
        <w:tab/>
        <w:t xml:space="preserve">     </w:t>
      </w:r>
      <w:r>
        <w:rPr>
          <w:rFonts w:asciiTheme="minorHAnsi" w:hAnsiTheme="minorHAnsi"/>
          <w:sz w:val="24"/>
          <w:szCs w:val="24"/>
        </w:rPr>
        <w:tab/>
      </w:r>
      <w:r>
        <w:rPr>
          <w:rFonts w:asciiTheme="minorHAnsi" w:hAnsiTheme="minorHAnsi"/>
          <w:sz w:val="24"/>
          <w:szCs w:val="24"/>
        </w:rPr>
        <w:tab/>
      </w:r>
      <w:r w:rsidRPr="003F17BF">
        <w:rPr>
          <w:rFonts w:asciiTheme="minorHAnsi" w:hAnsiTheme="minorHAnsi"/>
          <w:sz w:val="24"/>
          <w:szCs w:val="24"/>
        </w:rPr>
        <w:t>consists of bits (zeros and ones)</w:t>
      </w:r>
    </w:p>
    <w:p w14:paraId="533CED70" w14:textId="77777777" w:rsidR="00F34E35" w:rsidRPr="003F17BF" w:rsidRDefault="00F34E35" w:rsidP="00F34E35">
      <w:pPr>
        <w:pStyle w:val="BodyTextIndent"/>
        <w:numPr>
          <w:ilvl w:val="0"/>
          <w:numId w:val="7"/>
        </w:numPr>
        <w:spacing w:after="120"/>
        <w:rPr>
          <w:rFonts w:asciiTheme="minorHAnsi" w:hAnsiTheme="minorHAnsi"/>
          <w:sz w:val="24"/>
          <w:szCs w:val="24"/>
        </w:rPr>
      </w:pPr>
      <w:r w:rsidRPr="003F17BF">
        <w:rPr>
          <w:rFonts w:asciiTheme="minorHAnsi" w:hAnsiTheme="minorHAnsi"/>
          <w:sz w:val="24"/>
          <w:szCs w:val="24"/>
        </w:rPr>
        <w:lastRenderedPageBreak/>
        <w:t xml:space="preserve">Information  </w:t>
      </w:r>
      <w:r>
        <w:rPr>
          <w:rFonts w:asciiTheme="minorHAnsi" w:hAnsiTheme="minorHAnsi"/>
          <w:sz w:val="24"/>
          <w:szCs w:val="24"/>
        </w:rPr>
        <w:tab/>
      </w:r>
      <w:r>
        <w:rPr>
          <w:rFonts w:asciiTheme="minorHAnsi" w:hAnsiTheme="minorHAnsi"/>
          <w:sz w:val="24"/>
          <w:szCs w:val="24"/>
        </w:rPr>
        <w:tab/>
      </w:r>
      <w:r w:rsidRPr="003F17BF">
        <w:rPr>
          <w:rFonts w:asciiTheme="minorHAnsi" w:hAnsiTheme="minorHAnsi"/>
          <w:sz w:val="24"/>
          <w:szCs w:val="24"/>
        </w:rPr>
        <w:t>consists of labels applied to data</w:t>
      </w:r>
    </w:p>
    <w:p w14:paraId="636DB66E" w14:textId="30097D34" w:rsidR="00F34E35" w:rsidRPr="003F17BF" w:rsidRDefault="00F34E35" w:rsidP="00F34E35">
      <w:pPr>
        <w:pStyle w:val="BodyTextIndent"/>
        <w:numPr>
          <w:ilvl w:val="0"/>
          <w:numId w:val="7"/>
        </w:numPr>
        <w:spacing w:after="120"/>
        <w:rPr>
          <w:rFonts w:asciiTheme="minorHAnsi" w:hAnsiTheme="minorHAnsi"/>
          <w:sz w:val="24"/>
          <w:szCs w:val="24"/>
        </w:rPr>
      </w:pPr>
      <w:r w:rsidRPr="003F17BF">
        <w:rPr>
          <w:rFonts w:asciiTheme="minorHAnsi" w:hAnsiTheme="minorHAnsi"/>
          <w:sz w:val="24"/>
          <w:szCs w:val="24"/>
        </w:rPr>
        <w:t xml:space="preserve">Knowledge   </w:t>
      </w:r>
      <w:r>
        <w:rPr>
          <w:rFonts w:asciiTheme="minorHAnsi" w:hAnsiTheme="minorHAnsi"/>
          <w:sz w:val="24"/>
          <w:szCs w:val="24"/>
        </w:rPr>
        <w:tab/>
      </w:r>
      <w:r>
        <w:rPr>
          <w:rFonts w:asciiTheme="minorHAnsi" w:hAnsiTheme="minorHAnsi"/>
          <w:sz w:val="24"/>
          <w:szCs w:val="24"/>
        </w:rPr>
        <w:tab/>
      </w:r>
      <w:r w:rsidR="00AB6BC9">
        <w:rPr>
          <w:rFonts w:asciiTheme="minorHAnsi" w:hAnsiTheme="minorHAnsi"/>
          <w:sz w:val="24"/>
          <w:szCs w:val="24"/>
        </w:rPr>
        <w:t>evaluates</w:t>
      </w:r>
      <w:r w:rsidRPr="003F17BF">
        <w:rPr>
          <w:rFonts w:asciiTheme="minorHAnsi" w:hAnsiTheme="minorHAnsi"/>
          <w:sz w:val="24"/>
          <w:szCs w:val="24"/>
        </w:rPr>
        <w:t xml:space="preserve"> relationships between labels</w:t>
      </w:r>
    </w:p>
    <w:p w14:paraId="2C74544E" w14:textId="2E3E99D4" w:rsidR="00F34E35" w:rsidRPr="00096E48" w:rsidRDefault="00F34E35" w:rsidP="00096E48">
      <w:pPr>
        <w:pStyle w:val="BodyTextIndent"/>
        <w:numPr>
          <w:ilvl w:val="0"/>
          <w:numId w:val="8"/>
        </w:numPr>
        <w:ind w:left="720"/>
        <w:rPr>
          <w:rFonts w:asciiTheme="minorHAnsi" w:hAnsiTheme="minorHAnsi"/>
          <w:sz w:val="24"/>
          <w:szCs w:val="24"/>
        </w:rPr>
      </w:pPr>
      <w:r w:rsidRPr="003F17BF">
        <w:rPr>
          <w:rFonts w:asciiTheme="minorHAnsi" w:hAnsiTheme="minorHAnsi"/>
          <w:sz w:val="24"/>
          <w:szCs w:val="24"/>
        </w:rPr>
        <w:t>Wisdom</w:t>
      </w:r>
      <w:r w:rsidRPr="003F17BF">
        <w:rPr>
          <w:rFonts w:asciiTheme="minorHAnsi" w:hAnsiTheme="minorHAnsi"/>
          <w:sz w:val="24"/>
          <w:szCs w:val="24"/>
        </w:rPr>
        <w:tab/>
        <w:t xml:space="preserve">      </w:t>
      </w:r>
      <w:r>
        <w:rPr>
          <w:rFonts w:asciiTheme="minorHAnsi" w:hAnsiTheme="minorHAnsi"/>
          <w:sz w:val="24"/>
          <w:szCs w:val="24"/>
        </w:rPr>
        <w:tab/>
      </w:r>
      <w:r w:rsidR="00096E48">
        <w:rPr>
          <w:rFonts w:asciiTheme="minorHAnsi" w:hAnsiTheme="minorHAnsi"/>
          <w:sz w:val="24"/>
          <w:szCs w:val="24"/>
        </w:rPr>
        <w:t xml:space="preserve">imposes </w:t>
      </w:r>
      <w:r w:rsidRPr="00096E48">
        <w:rPr>
          <w:rFonts w:asciiTheme="minorHAnsi" w:hAnsiTheme="minorHAnsi"/>
          <w:sz w:val="24"/>
          <w:szCs w:val="24"/>
        </w:rPr>
        <w:t>relationship</w:t>
      </w:r>
      <w:r w:rsidR="00AB6BC9" w:rsidRPr="00096E48">
        <w:rPr>
          <w:rFonts w:asciiTheme="minorHAnsi" w:hAnsiTheme="minorHAnsi"/>
          <w:sz w:val="24"/>
          <w:szCs w:val="24"/>
        </w:rPr>
        <w:t>s between</w:t>
      </w:r>
      <w:r w:rsidRPr="00096E48">
        <w:rPr>
          <w:rFonts w:asciiTheme="minorHAnsi" w:hAnsiTheme="minorHAnsi"/>
          <w:sz w:val="24"/>
          <w:szCs w:val="24"/>
        </w:rPr>
        <w:t xml:space="preserve"> rela</w:t>
      </w:r>
      <w:r w:rsidR="00096E48">
        <w:rPr>
          <w:rFonts w:asciiTheme="minorHAnsi" w:hAnsiTheme="minorHAnsi"/>
          <w:sz w:val="24"/>
          <w:szCs w:val="24"/>
        </w:rPr>
        <w:t>tionships.</w:t>
      </w:r>
    </w:p>
    <w:p w14:paraId="694DC437" w14:textId="77777777" w:rsidR="00973F57" w:rsidRDefault="00973F57" w:rsidP="00F34E35"/>
    <w:p w14:paraId="05D30F74" w14:textId="0F9DF4AE" w:rsidR="00F34E35" w:rsidRDefault="00F34E35" w:rsidP="00F34E35">
      <w:r>
        <w:t>Within the iRODS data grid, data are managed as files in a file system, or objects in a</w:t>
      </w:r>
      <w:r w:rsidR="00AB6BC9">
        <w:t>n</w:t>
      </w:r>
      <w:r>
        <w:t xml:space="preserve"> </w:t>
      </w:r>
      <w:r w:rsidR="00AB6BC9">
        <w:t>object store</w:t>
      </w:r>
      <w:r>
        <w:t xml:space="preserve">.  Information is managed as metadata in a relational database.  Knowledge is applied as computer actionable rules </w:t>
      </w:r>
      <w:r w:rsidR="00973F57">
        <w:t>through</w:t>
      </w:r>
      <w:r>
        <w:t xml:space="preserve"> a rule engine. Wisdom </w:t>
      </w:r>
      <w:r w:rsidR="004E65B2">
        <w:t xml:space="preserve">(within the confines of the user-configurable iRODS system) </w:t>
      </w:r>
      <w:r>
        <w:t>is applied through policy enforcement points which determine when and wh</w:t>
      </w:r>
      <w:r w:rsidR="00973F57">
        <w:t>ere the knowledge procedures should be</w:t>
      </w:r>
      <w:r>
        <w:t xml:space="preserve"> executed.</w:t>
      </w:r>
    </w:p>
    <w:p w14:paraId="0D049AD4" w14:textId="77777777" w:rsidR="00F34E35" w:rsidRDefault="00F34E35" w:rsidP="00F34E35"/>
    <w:p w14:paraId="04B467A6" w14:textId="77777777" w:rsidR="00F34E35" w:rsidRDefault="00F34E35" w:rsidP="00F34E35">
      <w:r>
        <w:t>Note that the concept of relationships has been extended to include:</w:t>
      </w:r>
    </w:p>
    <w:p w14:paraId="17F8FA5D" w14:textId="77777777" w:rsidR="00F34E35" w:rsidRDefault="00F34E35" w:rsidP="00F34E35">
      <w:pPr>
        <w:pStyle w:val="ListParagraph"/>
        <w:numPr>
          <w:ilvl w:val="0"/>
          <w:numId w:val="8"/>
        </w:numPr>
      </w:pPr>
      <w:r>
        <w:t>Semantic or logical relationships</w:t>
      </w:r>
    </w:p>
    <w:p w14:paraId="45A977F5" w14:textId="77777777" w:rsidR="00F34E35" w:rsidRDefault="00F34E35" w:rsidP="00F34E35">
      <w:pPr>
        <w:pStyle w:val="ListParagraph"/>
        <w:numPr>
          <w:ilvl w:val="0"/>
          <w:numId w:val="8"/>
        </w:numPr>
      </w:pPr>
      <w:r>
        <w:t>Spatial or structural relationships</w:t>
      </w:r>
    </w:p>
    <w:p w14:paraId="116BD85C" w14:textId="77777777" w:rsidR="00F34E35" w:rsidRDefault="00F34E35" w:rsidP="00F34E35">
      <w:pPr>
        <w:pStyle w:val="ListParagraph"/>
        <w:numPr>
          <w:ilvl w:val="0"/>
          <w:numId w:val="8"/>
        </w:numPr>
      </w:pPr>
      <w:r>
        <w:t>Temporal or procedural relationships</w:t>
      </w:r>
    </w:p>
    <w:p w14:paraId="7157F98A" w14:textId="77777777" w:rsidR="00F34E35" w:rsidRDefault="00F34E35" w:rsidP="00F34E35">
      <w:pPr>
        <w:pStyle w:val="ListParagraph"/>
        <w:numPr>
          <w:ilvl w:val="0"/>
          <w:numId w:val="8"/>
        </w:numPr>
      </w:pPr>
      <w:r>
        <w:t>Functional or algorithmic relationships</w:t>
      </w:r>
    </w:p>
    <w:p w14:paraId="570D2535" w14:textId="77777777" w:rsidR="00F34E35" w:rsidRDefault="00F34E35" w:rsidP="00F34E35">
      <w:pPr>
        <w:pStyle w:val="ListParagraph"/>
        <w:numPr>
          <w:ilvl w:val="0"/>
          <w:numId w:val="8"/>
        </w:numPr>
      </w:pPr>
      <w:r>
        <w:t>Systemic or epistemological relationships</w:t>
      </w:r>
    </w:p>
    <w:p w14:paraId="2E5948AF" w14:textId="7FC6F129" w:rsidR="00F34E35" w:rsidRDefault="00F34E35" w:rsidP="00F34E35">
      <w:r>
        <w:t>Thus a procedure is the application of a functional relationship to a digital object to generate either information about the digital object, or a new digital object</w:t>
      </w:r>
      <w:r w:rsidR="00761B02">
        <w:t xml:space="preserve"> [11]</w:t>
      </w:r>
      <w:r>
        <w:t>.</w:t>
      </w:r>
    </w:p>
    <w:p w14:paraId="324620AA" w14:textId="77777777" w:rsidR="00F34E35" w:rsidRDefault="00F34E35" w:rsidP="00F34E35"/>
    <w:p w14:paraId="475FF159" w14:textId="457CBAB2" w:rsidR="00F34E35" w:rsidRDefault="00761B02" w:rsidP="00F34E35">
      <w:r>
        <w:t>T</w:t>
      </w:r>
      <w:r w:rsidR="00F34E35">
        <w:t>he differentiation between information and knowledge is complex.  In order to assign a label to a digital object, a knowledge relationship</w:t>
      </w:r>
      <w:r w:rsidR="00AB6BC9">
        <w:t xml:space="preserve"> between existing labels</w:t>
      </w:r>
      <w:r w:rsidR="00F34E35">
        <w:t xml:space="preserve"> needs to be evaluated.  However </w:t>
      </w:r>
      <w:r w:rsidR="00AB6BC9">
        <w:t xml:space="preserve">each existing label required the prior application of </w:t>
      </w:r>
      <w:r w:rsidR="00F34E35">
        <w:t>knowledge relationsh</w:t>
      </w:r>
      <w:r w:rsidR="00973F57">
        <w:t>ips</w:t>
      </w:r>
      <w:r w:rsidR="00F34E35">
        <w:t xml:space="preserve">.  Information generation is an infinite recursion on the application of knowledge procedures.  </w:t>
      </w:r>
      <w:r>
        <w:t xml:space="preserve">Each knowledge procedure evaluates relationships between labels that were previously generated.  </w:t>
      </w:r>
      <w:r w:rsidR="001D595B">
        <w:t xml:space="preserve">The recursive nature is closed by reducing the information labels to a well known set that are interpreted the same way by the entire user community.  </w:t>
      </w:r>
      <w:r w:rsidR="00F34E35">
        <w:t>The simplest way to separate information and knowledge is to view information as the reification of knowledge.  Information is a static property, while knowledge is the active evaluation of a relationship.</w:t>
      </w:r>
    </w:p>
    <w:p w14:paraId="46BACA22" w14:textId="77777777" w:rsidR="00F34E35" w:rsidRDefault="00F34E35" w:rsidP="00F34E35"/>
    <w:p w14:paraId="06E95C49" w14:textId="580D7671" w:rsidR="00F34E35" w:rsidRDefault="00F34E35" w:rsidP="00F34E35">
      <w:r>
        <w:t xml:space="preserve">The first attempt to characterize information and knowledge was expressed as a matrix, with the goal of differentiating between ingestion, management, and access </w:t>
      </w:r>
      <w:r w:rsidR="00761B02">
        <w:t>services for digital objects [12</w:t>
      </w:r>
      <w:r>
        <w:t xml:space="preserve">].  This characterization focused on services that were used to manipulate data, information and knowledge, within the context of a data grid.  Figure 6 shows the components of the characterization, with the data grid represented by the matrix that links together the individual components related to </w:t>
      </w:r>
      <w:r w:rsidR="00665066">
        <w:t xml:space="preserve">the </w:t>
      </w:r>
      <w:r>
        <w:t>types of service.</w:t>
      </w:r>
    </w:p>
    <w:p w14:paraId="5173808A" w14:textId="409403AC" w:rsidR="00F34E35" w:rsidRDefault="001D595B" w:rsidP="00F34E35">
      <w:r>
        <w:rPr>
          <w:noProof/>
        </w:rPr>
        <w:lastRenderedPageBreak/>
        <mc:AlternateContent>
          <mc:Choice Requires="wps">
            <w:drawing>
              <wp:anchor distT="0" distB="0" distL="114300" distR="114300" simplePos="0" relativeHeight="251670528" behindDoc="0" locked="0" layoutInCell="1" allowOverlap="1" wp14:anchorId="210C0169" wp14:editId="2B183445">
                <wp:simplePos x="0" y="0"/>
                <wp:positionH relativeFrom="column">
                  <wp:posOffset>1828800</wp:posOffset>
                </wp:positionH>
                <wp:positionV relativeFrom="paragraph">
                  <wp:posOffset>13335</wp:posOffset>
                </wp:positionV>
                <wp:extent cx="3886200" cy="2971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8862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B24A4" w14:textId="75F21042" w:rsidR="009F4698" w:rsidRDefault="009F4698" w:rsidP="00F34E35">
                            <w:r>
                              <w:rPr>
                                <w:noProof/>
                              </w:rPr>
                              <w:drawing>
                                <wp:inline distT="0" distB="0" distL="0" distR="0" wp14:anchorId="36E1A101" wp14:editId="31237852">
                                  <wp:extent cx="3504958" cy="2620918"/>
                                  <wp:effectExtent l="25400" t="25400" r="2603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9">
                                            <a:extLst>
                                              <a:ext uri="{28A0092B-C50C-407E-A947-70E740481C1C}">
                                                <a14:useLocalDpi xmlns:a14="http://schemas.microsoft.com/office/drawing/2010/main" val="0"/>
                                              </a:ext>
                                            </a:extLst>
                                          </a:blip>
                                          <a:stretch>
                                            <a:fillRect/>
                                          </a:stretch>
                                        </pic:blipFill>
                                        <pic:spPr>
                                          <a:xfrm>
                                            <a:off x="0" y="0"/>
                                            <a:ext cx="3505381" cy="2621234"/>
                                          </a:xfrm>
                                          <a:prstGeom prst="rect">
                                            <a:avLst/>
                                          </a:prstGeom>
                                          <a:ln>
                                            <a:solidFill>
                                              <a:schemeClr val="tx1"/>
                                            </a:solidFill>
                                          </a:ln>
                                        </pic:spPr>
                                      </pic:pic>
                                    </a:graphicData>
                                  </a:graphic>
                                </wp:inline>
                              </w:drawing>
                            </w:r>
                          </w:p>
                          <w:p w14:paraId="2B3985B1" w14:textId="77777777" w:rsidR="009F4698" w:rsidRDefault="009F4698" w:rsidP="00F34E35">
                            <w:pPr>
                              <w:jc w:val="center"/>
                            </w:pPr>
                            <w:r>
                              <w:t>Figure 6.  Knowledge-based Grids</w:t>
                            </w:r>
                          </w:p>
                          <w:p w14:paraId="58CA902C" w14:textId="77777777" w:rsidR="009F4698" w:rsidRDefault="009F4698" w:rsidP="00F34E35"/>
                          <w:p w14:paraId="6E09BCA7" w14:textId="77777777" w:rsidR="009F4698" w:rsidRDefault="009F4698" w:rsidP="00F34E35"/>
                          <w:p w14:paraId="06973640" w14:textId="77777777" w:rsidR="009F4698" w:rsidRDefault="009F4698" w:rsidP="00F34E35"/>
                          <w:p w14:paraId="7208F829" w14:textId="77777777" w:rsidR="009F4698" w:rsidRDefault="009F4698" w:rsidP="00F34E35"/>
                          <w:p w14:paraId="5D251E99" w14:textId="77777777" w:rsidR="009F4698" w:rsidRDefault="009F4698" w:rsidP="00F34E35"/>
                          <w:p w14:paraId="7413CE63" w14:textId="77777777" w:rsidR="009F4698" w:rsidRDefault="009F4698" w:rsidP="00F34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in;margin-top:1.05pt;width:306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" filled="f" stroked="f">
                <v:textbox>
                  <w:txbxContent>
                    <w:p w14:paraId="4C7B24A4" w14:textId="75F21042" w:rsidR="009F4698" w:rsidRDefault="009F4698" w:rsidP="00F34E35">
                      <w:r>
                        <w:rPr>
                          <w:noProof/>
                        </w:rPr>
                        <w:drawing>
                          <wp:inline distT="0" distB="0" distL="0" distR="0" wp14:anchorId="36E1A101" wp14:editId="31237852">
                            <wp:extent cx="3504958" cy="2620918"/>
                            <wp:effectExtent l="25400" t="25400" r="2603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20">
                                      <a:extLst>
                                        <a:ext uri="{28A0092B-C50C-407E-A947-70E740481C1C}">
                                          <a14:useLocalDpi xmlns:a14="http://schemas.microsoft.com/office/drawing/2010/main" val="0"/>
                                        </a:ext>
                                      </a:extLst>
                                    </a:blip>
                                    <a:stretch>
                                      <a:fillRect/>
                                    </a:stretch>
                                  </pic:blipFill>
                                  <pic:spPr>
                                    <a:xfrm>
                                      <a:off x="0" y="0"/>
                                      <a:ext cx="3505381" cy="2621234"/>
                                    </a:xfrm>
                                    <a:prstGeom prst="rect">
                                      <a:avLst/>
                                    </a:prstGeom>
                                    <a:ln>
                                      <a:solidFill>
                                        <a:schemeClr val="tx1"/>
                                      </a:solidFill>
                                    </a:ln>
                                  </pic:spPr>
                                </pic:pic>
                              </a:graphicData>
                            </a:graphic>
                          </wp:inline>
                        </w:drawing>
                      </w:r>
                    </w:p>
                    <w:p w14:paraId="2B3985B1" w14:textId="77777777" w:rsidR="009F4698" w:rsidRDefault="009F4698" w:rsidP="00F34E35">
                      <w:pPr>
                        <w:jc w:val="center"/>
                      </w:pPr>
                      <w:r>
                        <w:t>Figure 6.  Knowledge-based Grids</w:t>
                      </w:r>
                    </w:p>
                    <w:p w14:paraId="58CA902C" w14:textId="77777777" w:rsidR="009F4698" w:rsidRDefault="009F4698" w:rsidP="00F34E35"/>
                    <w:p w14:paraId="6E09BCA7" w14:textId="77777777" w:rsidR="009F4698" w:rsidRDefault="009F4698" w:rsidP="00F34E35"/>
                    <w:p w14:paraId="06973640" w14:textId="77777777" w:rsidR="009F4698" w:rsidRDefault="009F4698" w:rsidP="00F34E35"/>
                    <w:p w14:paraId="7208F829" w14:textId="77777777" w:rsidR="009F4698" w:rsidRDefault="009F4698" w:rsidP="00F34E35"/>
                    <w:p w14:paraId="5D251E99" w14:textId="77777777" w:rsidR="009F4698" w:rsidRDefault="009F4698" w:rsidP="00F34E35"/>
                    <w:p w14:paraId="7413CE63" w14:textId="77777777" w:rsidR="009F4698" w:rsidRDefault="009F4698" w:rsidP="00F34E35"/>
                  </w:txbxContent>
                </v:textbox>
                <w10:wrap type="square"/>
              </v:shape>
            </w:pict>
          </mc:Fallback>
        </mc:AlternateContent>
      </w:r>
      <w:r w:rsidR="006C06FD">
        <w:t>This</w:t>
      </w:r>
      <w:r w:rsidR="00F34E35">
        <w:t xml:space="preserve"> characterization is realized in the iRODS policy-based data management system.  The services to manipulate data are the operations supported upon digital objects.  The storage systems for data are accessed through storage drivers.  The services to manipulate information are the operation</w:t>
      </w:r>
      <w:r w:rsidR="00761B02">
        <w:t>s</w:t>
      </w:r>
      <w:r w:rsidR="00F34E35">
        <w:t xml:space="preserve"> supported upon metadata attributes.  The information repository is the metadata catalog, stored in a relational database.  The knowledge relationships between concepts are implemented as micro-services that are controlled by computer actionable rules.  The knowledge repository is implemented as a rule base.</w:t>
      </w:r>
      <w:r w:rsidR="004E65B2">
        <w:t xml:space="preserve"> The knowledge-based grid can </w:t>
      </w:r>
      <w:r w:rsidR="00665066">
        <w:t>b</w:t>
      </w:r>
      <w:r w:rsidR="004E65B2">
        <w:t xml:space="preserve">e viewed spatially, as a shared distributed service or temporally, as a persistent archive. </w:t>
      </w:r>
    </w:p>
    <w:p w14:paraId="5716FE74" w14:textId="77777777" w:rsidR="00F34E35" w:rsidRDefault="00F34E35" w:rsidP="00F34E35"/>
    <w:p w14:paraId="52A51C43" w14:textId="68902140" w:rsidR="00F34E35" w:rsidRDefault="00F34E35" w:rsidP="00F34E35">
      <w:r>
        <w:t xml:space="preserve">The access services remain an area of active development, and are </w:t>
      </w:r>
      <w:r w:rsidR="00847C0B">
        <w:t>further</w:t>
      </w:r>
      <w:r>
        <w:t xml:space="preserve"> discussed in the </w:t>
      </w:r>
      <w:r w:rsidR="00761B02">
        <w:t>feature-based indexing</w:t>
      </w:r>
      <w:r w:rsidR="006C06FD">
        <w:t xml:space="preserve"> concept</w:t>
      </w:r>
      <w:r w:rsidR="00761B02">
        <w:t>.</w:t>
      </w:r>
    </w:p>
    <w:p w14:paraId="233A21B7" w14:textId="77777777" w:rsidR="00F34E35" w:rsidRDefault="00F34E35" w:rsidP="00F34E35"/>
    <w:p w14:paraId="4512853A" w14:textId="23CA8CAC" w:rsidR="003D4033" w:rsidRDefault="005124A1" w:rsidP="003D4033">
      <w:r>
        <w:rPr>
          <w:noProof/>
        </w:rPr>
        <mc:AlternateContent>
          <mc:Choice Requires="wps">
            <w:drawing>
              <wp:anchor distT="0" distB="0" distL="114300" distR="114300" simplePos="0" relativeHeight="251671552" behindDoc="0" locked="0" layoutInCell="1" allowOverlap="1" wp14:anchorId="0284E382" wp14:editId="6A77C038">
                <wp:simplePos x="0" y="0"/>
                <wp:positionH relativeFrom="column">
                  <wp:posOffset>1600200</wp:posOffset>
                </wp:positionH>
                <wp:positionV relativeFrom="paragraph">
                  <wp:posOffset>1297940</wp:posOffset>
                </wp:positionV>
                <wp:extent cx="4114800" cy="2306955"/>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4114800" cy="2306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B6105" w14:textId="0E156B79" w:rsidR="009F4698" w:rsidRDefault="009F4698">
                            <w:r>
                              <w:rPr>
                                <w:noProof/>
                              </w:rPr>
                              <w:drawing>
                                <wp:inline distT="0" distB="0" distL="0" distR="0" wp14:anchorId="66C8AE5D" wp14:editId="69D5DE7C">
                                  <wp:extent cx="3886200" cy="1954178"/>
                                  <wp:effectExtent l="25400" t="25400" r="2540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21">
                                            <a:extLst>
                                              <a:ext uri="{28A0092B-C50C-407E-A947-70E740481C1C}">
                                                <a14:useLocalDpi xmlns:a14="http://schemas.microsoft.com/office/drawing/2010/main" val="0"/>
                                              </a:ext>
                                            </a:extLst>
                                          </a:blip>
                                          <a:stretch>
                                            <a:fillRect/>
                                          </a:stretch>
                                        </pic:blipFill>
                                        <pic:spPr>
                                          <a:xfrm>
                                            <a:off x="0" y="0"/>
                                            <a:ext cx="3886200" cy="1954178"/>
                                          </a:xfrm>
                                          <a:prstGeom prst="rect">
                                            <a:avLst/>
                                          </a:prstGeom>
                                          <a:ln>
                                            <a:solidFill>
                                              <a:schemeClr val="tx1"/>
                                            </a:solidFill>
                                          </a:ln>
                                        </pic:spPr>
                                      </pic:pic>
                                    </a:graphicData>
                                  </a:graphic>
                                </wp:inline>
                              </w:drawing>
                            </w:r>
                          </w:p>
                          <w:p w14:paraId="0FB7C464" w14:textId="17F5E754" w:rsidR="009F4698" w:rsidRDefault="009F4698" w:rsidP="00AF6FB2">
                            <w:pPr>
                              <w:jc w:val="center"/>
                            </w:pPr>
                            <w:r>
                              <w:t>Figure 7.  iRODS data grid virtualization mechanisms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26pt;margin-top:102.2pt;width:324pt;height:18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dSTtICAAAW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" filled="f" stroked="f">
                <v:textbox>
                  <w:txbxContent>
                    <w:p w14:paraId="66EB6105" w14:textId="0E156B79" w:rsidR="009F4698" w:rsidRDefault="009F4698">
                      <w:r>
                        <w:rPr>
                          <w:noProof/>
                        </w:rPr>
                        <w:drawing>
                          <wp:inline distT="0" distB="0" distL="0" distR="0" wp14:anchorId="66C8AE5D" wp14:editId="69D5DE7C">
                            <wp:extent cx="3886200" cy="1954178"/>
                            <wp:effectExtent l="25400" t="25400" r="2540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22">
                                      <a:extLst>
                                        <a:ext uri="{28A0092B-C50C-407E-A947-70E740481C1C}">
                                          <a14:useLocalDpi xmlns:a14="http://schemas.microsoft.com/office/drawing/2010/main" val="0"/>
                                        </a:ext>
                                      </a:extLst>
                                    </a:blip>
                                    <a:stretch>
                                      <a:fillRect/>
                                    </a:stretch>
                                  </pic:blipFill>
                                  <pic:spPr>
                                    <a:xfrm>
                                      <a:off x="0" y="0"/>
                                      <a:ext cx="3886200" cy="1954178"/>
                                    </a:xfrm>
                                    <a:prstGeom prst="rect">
                                      <a:avLst/>
                                    </a:prstGeom>
                                    <a:ln>
                                      <a:solidFill>
                                        <a:schemeClr val="tx1"/>
                                      </a:solidFill>
                                    </a:ln>
                                  </pic:spPr>
                                </pic:pic>
                              </a:graphicData>
                            </a:graphic>
                          </wp:inline>
                        </w:drawing>
                      </w:r>
                    </w:p>
                    <w:p w14:paraId="0FB7C464" w14:textId="17F5E754" w:rsidR="009F4698" w:rsidRDefault="009F4698" w:rsidP="00AF6FB2">
                      <w:pPr>
                        <w:jc w:val="center"/>
                      </w:pPr>
                      <w:r>
                        <w:t>Figure 7.  iRODS data grid virtualization mechanisms</w:t>
                      </w:r>
                    </w:p>
                  </w:txbxContent>
                </v:textbox>
                <w10:wrap type="square"/>
              </v:shape>
            </w:pict>
          </mc:Fallback>
        </mc:AlternateContent>
      </w:r>
      <w:r w:rsidR="00CB5221" w:rsidRPr="007D6339">
        <w:rPr>
          <w:b/>
        </w:rPr>
        <w:t>Knowledge Virtualization (</w:t>
      </w:r>
      <w:r w:rsidR="00841353" w:rsidRPr="007D6339">
        <w:rPr>
          <w:b/>
        </w:rPr>
        <w:t>2010):</w:t>
      </w:r>
      <w:r w:rsidR="00841353">
        <w:t xml:space="preserve">  The iRODS data grid provides virtualization of data, information, and knowledge.  Figure 7 shows a simple architecture view of the interoperability mechanisms.</w:t>
      </w:r>
      <w:r w:rsidR="003D4033">
        <w:t xml:space="preserve">  An</w:t>
      </w:r>
      <w:r w:rsidR="003D4033" w:rsidRPr="00AF6FB2">
        <w:t xml:space="preserve"> </w:t>
      </w:r>
      <w:r w:rsidR="003D4033">
        <w:t>access interface virtualizes access by mapping from the access protocol to the iRODS interaction protocol.  Each interaction is trapped at policy enforcement points where a rule base is consulted to determine which policy to execute.  The policies control the execution of procedures that are composed by chaining together basic functions, called micro-services.  This requires that the middleware manage exchange of structured information between the chained micro-services.</w:t>
      </w:r>
    </w:p>
    <w:p w14:paraId="4F5DDC5A" w14:textId="374316B2" w:rsidR="003D4033" w:rsidRDefault="003D4033" w:rsidP="003D4033"/>
    <w:p w14:paraId="082C2820" w14:textId="6B1DDF05" w:rsidR="00F34E35" w:rsidRDefault="003D4033" w:rsidP="00F34E35">
      <w:r>
        <w:t xml:space="preserve">The micro-services perform </w:t>
      </w:r>
      <w:r w:rsidR="004E65B2">
        <w:t xml:space="preserve">operations such as </w:t>
      </w:r>
      <w:r>
        <w:t xml:space="preserve">I/O manipulation, metadata extraction, and </w:t>
      </w:r>
      <w:r w:rsidR="00D57CD5">
        <w:t xml:space="preserve">domain-specific </w:t>
      </w:r>
      <w:r w:rsidR="00D57CD5">
        <w:lastRenderedPageBreak/>
        <w:t xml:space="preserve">operations.  Each micro-service invokes standard Posix based I/O operations.  The data grid middleware then translates between the standard I/O and the protocol required by the remote storage location.  Thus the micro-services are operating system independent.  The same micro-services run on Windows, Unix, and Mac computers, enabling the migration of policies and procedures across operating systems.  The ability to manage application of knowledge procedures, independently of the choice of storage environment, </w:t>
      </w:r>
      <w:r w:rsidR="004E65B2">
        <w:t xml:space="preserve">can be viewed as  </w:t>
      </w:r>
      <w:r w:rsidR="00D57CD5">
        <w:t>a form of knowledge encapsulation.</w:t>
      </w:r>
    </w:p>
    <w:p w14:paraId="448B4F88" w14:textId="77777777" w:rsidR="00CF1B17" w:rsidRDefault="00CF1B17" w:rsidP="00F34E35"/>
    <w:p w14:paraId="277900DB" w14:textId="411D99AE" w:rsidR="007A7EC2" w:rsidRDefault="00CF1B17" w:rsidP="007A7EC2">
      <w:r w:rsidRPr="0042366A">
        <w:rPr>
          <w:b/>
        </w:rPr>
        <w:t>Policies as Intellectual Property</w:t>
      </w:r>
      <w:r w:rsidR="005124A1">
        <w:rPr>
          <w:b/>
        </w:rPr>
        <w:t xml:space="preserve"> (2013)</w:t>
      </w:r>
      <w:r w:rsidRPr="0042366A">
        <w:rPr>
          <w:b/>
        </w:rPr>
        <w:t>:</w:t>
      </w:r>
      <w:r>
        <w:t xml:space="preserve">  A major goal of the development of policy-based data grid middleware has been the </w:t>
      </w:r>
      <w:r w:rsidR="007A7EC2">
        <w:t>conversion</w:t>
      </w:r>
      <w:r>
        <w:t xml:space="preserve"> of </w:t>
      </w:r>
      <w:r w:rsidR="007A7EC2">
        <w:t>management policies into computer actionable rules that control computer executable procedures.  This enabled multiple communities, shown below, to apply the technology.  The users of the software span multiple science and engineering disciplines, and include national data grids, national libraries, and international projects:</w:t>
      </w:r>
    </w:p>
    <w:p w14:paraId="68229165" w14:textId="77777777" w:rsidR="007A7EC2" w:rsidRDefault="007A7EC2" w:rsidP="007A7EC2"/>
    <w:p w14:paraId="1130C69B" w14:textId="77777777" w:rsidR="007A7EC2" w:rsidRPr="007A7EC2" w:rsidRDefault="007A7EC2" w:rsidP="007A7EC2">
      <w:pPr>
        <w:tabs>
          <w:tab w:val="left" w:pos="3060"/>
        </w:tabs>
        <w:ind w:left="720"/>
        <w:rPr>
          <w:sz w:val="22"/>
        </w:rPr>
      </w:pPr>
      <w:r w:rsidRPr="007A7EC2">
        <w:rPr>
          <w:sz w:val="22"/>
        </w:rPr>
        <w:t>Archives</w:t>
      </w:r>
      <w:r w:rsidRPr="007A7EC2">
        <w:rPr>
          <w:sz w:val="22"/>
        </w:rPr>
        <w:tab/>
        <w:t>Taiwan National Archive, Chronopolis</w:t>
      </w:r>
    </w:p>
    <w:p w14:paraId="173FE5E7" w14:textId="77777777" w:rsidR="007A7EC2" w:rsidRPr="007A7EC2" w:rsidRDefault="007A7EC2" w:rsidP="007A7EC2">
      <w:pPr>
        <w:tabs>
          <w:tab w:val="left" w:pos="3060"/>
        </w:tabs>
        <w:ind w:left="720"/>
        <w:rPr>
          <w:sz w:val="22"/>
        </w:rPr>
      </w:pPr>
      <w:r w:rsidRPr="007A7EC2">
        <w:rPr>
          <w:sz w:val="22"/>
        </w:rPr>
        <w:t>Astrophysics</w:t>
      </w:r>
      <w:r w:rsidRPr="007A7EC2">
        <w:rPr>
          <w:sz w:val="22"/>
        </w:rPr>
        <w:tab/>
        <w:t>Auger supernova search</w:t>
      </w:r>
    </w:p>
    <w:p w14:paraId="09638E3C" w14:textId="77777777" w:rsidR="007A7EC2" w:rsidRPr="007A7EC2" w:rsidRDefault="007A7EC2" w:rsidP="007A7EC2">
      <w:pPr>
        <w:tabs>
          <w:tab w:val="left" w:pos="3060"/>
        </w:tabs>
        <w:ind w:left="720"/>
        <w:rPr>
          <w:sz w:val="22"/>
        </w:rPr>
      </w:pPr>
      <w:r w:rsidRPr="007A7EC2">
        <w:rPr>
          <w:sz w:val="22"/>
        </w:rPr>
        <w:t>Atmospheric science</w:t>
      </w:r>
      <w:r w:rsidRPr="007A7EC2">
        <w:rPr>
          <w:sz w:val="22"/>
        </w:rPr>
        <w:tab/>
        <w:t>NASA Langley Atmospheric Sciences Center</w:t>
      </w:r>
    </w:p>
    <w:p w14:paraId="4B5459EE" w14:textId="77777777" w:rsidR="007A7EC2" w:rsidRPr="007A7EC2" w:rsidRDefault="007A7EC2" w:rsidP="007A7EC2">
      <w:pPr>
        <w:tabs>
          <w:tab w:val="left" w:pos="3060"/>
        </w:tabs>
        <w:ind w:left="720"/>
        <w:rPr>
          <w:sz w:val="22"/>
        </w:rPr>
      </w:pPr>
      <w:r w:rsidRPr="007A7EC2">
        <w:rPr>
          <w:sz w:val="22"/>
        </w:rPr>
        <w:t>Biology</w:t>
      </w:r>
      <w:r w:rsidRPr="007A7EC2">
        <w:rPr>
          <w:sz w:val="22"/>
        </w:rPr>
        <w:tab/>
        <w:t>Phylogenetics at CC IN2P3</w:t>
      </w:r>
    </w:p>
    <w:p w14:paraId="7E0AD9E5" w14:textId="77777777" w:rsidR="007A7EC2" w:rsidRPr="007A7EC2" w:rsidRDefault="007A7EC2" w:rsidP="007A7EC2">
      <w:pPr>
        <w:tabs>
          <w:tab w:val="left" w:pos="3060"/>
        </w:tabs>
        <w:ind w:left="720"/>
        <w:rPr>
          <w:sz w:val="22"/>
        </w:rPr>
      </w:pPr>
      <w:r w:rsidRPr="007A7EC2">
        <w:rPr>
          <w:sz w:val="22"/>
        </w:rPr>
        <w:t>Climate</w:t>
      </w:r>
      <w:r w:rsidRPr="007A7EC2">
        <w:rPr>
          <w:sz w:val="22"/>
        </w:rPr>
        <w:tab/>
        <w:t>NOAA National Climatic Data Center</w:t>
      </w:r>
    </w:p>
    <w:p w14:paraId="01562F9D" w14:textId="77777777" w:rsidR="007A7EC2" w:rsidRPr="007A7EC2" w:rsidRDefault="007A7EC2" w:rsidP="007A7EC2">
      <w:pPr>
        <w:tabs>
          <w:tab w:val="left" w:pos="3060"/>
        </w:tabs>
        <w:ind w:left="720"/>
        <w:rPr>
          <w:sz w:val="22"/>
        </w:rPr>
      </w:pPr>
      <w:r w:rsidRPr="007A7EC2">
        <w:rPr>
          <w:sz w:val="22"/>
        </w:rPr>
        <w:t>Cognitive Science</w:t>
      </w:r>
      <w:r w:rsidRPr="007A7EC2">
        <w:rPr>
          <w:sz w:val="22"/>
        </w:rPr>
        <w:tab/>
        <w:t>Temporal Dynamics of Learning Center</w:t>
      </w:r>
    </w:p>
    <w:p w14:paraId="626D529B" w14:textId="77777777" w:rsidR="007A7EC2" w:rsidRPr="007A7EC2" w:rsidRDefault="007A7EC2" w:rsidP="007A7EC2">
      <w:pPr>
        <w:tabs>
          <w:tab w:val="left" w:pos="3060"/>
        </w:tabs>
        <w:ind w:left="720"/>
        <w:rPr>
          <w:sz w:val="22"/>
        </w:rPr>
      </w:pPr>
      <w:r w:rsidRPr="007A7EC2">
        <w:rPr>
          <w:sz w:val="22"/>
        </w:rPr>
        <w:t>Computer Science</w:t>
      </w:r>
      <w:r w:rsidRPr="007A7EC2">
        <w:rPr>
          <w:sz w:val="22"/>
        </w:rPr>
        <w:tab/>
        <w:t>GENI experimental network</w:t>
      </w:r>
    </w:p>
    <w:p w14:paraId="1706E379" w14:textId="77777777" w:rsidR="007A7EC2" w:rsidRPr="007A7EC2" w:rsidRDefault="007A7EC2" w:rsidP="007A7EC2">
      <w:pPr>
        <w:tabs>
          <w:tab w:val="left" w:pos="3060"/>
        </w:tabs>
        <w:ind w:left="720"/>
        <w:rPr>
          <w:sz w:val="22"/>
        </w:rPr>
      </w:pPr>
      <w:r w:rsidRPr="007A7EC2">
        <w:rPr>
          <w:sz w:val="22"/>
        </w:rPr>
        <w:t>Cosmic Ray</w:t>
      </w:r>
      <w:r w:rsidRPr="007A7EC2">
        <w:rPr>
          <w:sz w:val="22"/>
        </w:rPr>
        <w:tab/>
        <w:t>AMS experiment on the International Space Station</w:t>
      </w:r>
    </w:p>
    <w:p w14:paraId="7E514BC1" w14:textId="77777777" w:rsidR="007A7EC2" w:rsidRPr="007A7EC2" w:rsidRDefault="007A7EC2" w:rsidP="007A7EC2">
      <w:pPr>
        <w:tabs>
          <w:tab w:val="left" w:pos="3060"/>
        </w:tabs>
        <w:ind w:left="720"/>
        <w:rPr>
          <w:sz w:val="22"/>
        </w:rPr>
      </w:pPr>
      <w:r w:rsidRPr="007A7EC2">
        <w:rPr>
          <w:sz w:val="22"/>
        </w:rPr>
        <w:t>Dark Matter Physics</w:t>
      </w:r>
      <w:r w:rsidRPr="007A7EC2">
        <w:rPr>
          <w:sz w:val="22"/>
        </w:rPr>
        <w:tab/>
        <w:t>Edelweiss II</w:t>
      </w:r>
    </w:p>
    <w:p w14:paraId="0FD4312A" w14:textId="77777777" w:rsidR="007A7EC2" w:rsidRPr="007A7EC2" w:rsidRDefault="007A7EC2" w:rsidP="007A7EC2">
      <w:pPr>
        <w:tabs>
          <w:tab w:val="left" w:pos="3060"/>
        </w:tabs>
        <w:ind w:left="720"/>
        <w:rPr>
          <w:sz w:val="22"/>
        </w:rPr>
      </w:pPr>
      <w:r w:rsidRPr="007A7EC2">
        <w:rPr>
          <w:sz w:val="22"/>
        </w:rPr>
        <w:t>Earth Science</w:t>
      </w:r>
      <w:r w:rsidRPr="007A7EC2">
        <w:rPr>
          <w:sz w:val="22"/>
        </w:rPr>
        <w:tab/>
        <w:t>NASA Center for Climate Simulations</w:t>
      </w:r>
    </w:p>
    <w:p w14:paraId="5A6ECA15" w14:textId="77777777" w:rsidR="007A7EC2" w:rsidRPr="007A7EC2" w:rsidRDefault="007A7EC2" w:rsidP="007A7EC2">
      <w:pPr>
        <w:tabs>
          <w:tab w:val="left" w:pos="3060"/>
        </w:tabs>
        <w:ind w:left="720"/>
        <w:rPr>
          <w:sz w:val="22"/>
        </w:rPr>
      </w:pPr>
      <w:r w:rsidRPr="007A7EC2">
        <w:rPr>
          <w:sz w:val="22"/>
        </w:rPr>
        <w:t>Ecology</w:t>
      </w:r>
      <w:r w:rsidRPr="007A7EC2">
        <w:rPr>
          <w:sz w:val="22"/>
        </w:rPr>
        <w:tab/>
        <w:t>CEED Caveat Emptor Ecological Data</w:t>
      </w:r>
    </w:p>
    <w:p w14:paraId="674B7FD0" w14:textId="77777777" w:rsidR="007A7EC2" w:rsidRPr="007A7EC2" w:rsidRDefault="007A7EC2" w:rsidP="007A7EC2">
      <w:pPr>
        <w:tabs>
          <w:tab w:val="left" w:pos="3060"/>
        </w:tabs>
        <w:ind w:left="720"/>
        <w:rPr>
          <w:sz w:val="22"/>
        </w:rPr>
      </w:pPr>
      <w:r w:rsidRPr="007A7EC2">
        <w:rPr>
          <w:sz w:val="22"/>
        </w:rPr>
        <w:t>Engineering</w:t>
      </w:r>
      <w:r w:rsidRPr="007A7EC2">
        <w:rPr>
          <w:sz w:val="22"/>
        </w:rPr>
        <w:tab/>
        <w:t>CIBER-U</w:t>
      </w:r>
    </w:p>
    <w:p w14:paraId="567335E3" w14:textId="77777777" w:rsidR="007A7EC2" w:rsidRPr="007A7EC2" w:rsidRDefault="007A7EC2" w:rsidP="007A7EC2">
      <w:pPr>
        <w:tabs>
          <w:tab w:val="left" w:pos="3060"/>
        </w:tabs>
        <w:ind w:left="720"/>
        <w:rPr>
          <w:sz w:val="22"/>
        </w:rPr>
      </w:pPr>
      <w:r w:rsidRPr="007A7EC2">
        <w:rPr>
          <w:sz w:val="22"/>
        </w:rPr>
        <w:t>High Energy Physics</w:t>
      </w:r>
      <w:r w:rsidRPr="007A7EC2">
        <w:rPr>
          <w:sz w:val="22"/>
        </w:rPr>
        <w:tab/>
        <w:t>BaBar / Stanford Linear Accelerator</w:t>
      </w:r>
    </w:p>
    <w:p w14:paraId="1CE731D0" w14:textId="77777777" w:rsidR="007A7EC2" w:rsidRPr="007A7EC2" w:rsidRDefault="007A7EC2" w:rsidP="007A7EC2">
      <w:pPr>
        <w:tabs>
          <w:tab w:val="left" w:pos="3060"/>
        </w:tabs>
        <w:ind w:left="720"/>
        <w:rPr>
          <w:sz w:val="22"/>
        </w:rPr>
      </w:pPr>
      <w:r w:rsidRPr="007A7EC2">
        <w:rPr>
          <w:sz w:val="22"/>
        </w:rPr>
        <w:t>Hydrology</w:t>
      </w:r>
      <w:r w:rsidRPr="007A7EC2">
        <w:rPr>
          <w:sz w:val="22"/>
        </w:rPr>
        <w:tab/>
        <w:t>Institute for the Environment, UNC-CH; Hydroshare</w:t>
      </w:r>
    </w:p>
    <w:p w14:paraId="6C6EC510" w14:textId="77777777" w:rsidR="007A7EC2" w:rsidRPr="007A7EC2" w:rsidRDefault="007A7EC2" w:rsidP="007A7EC2">
      <w:pPr>
        <w:tabs>
          <w:tab w:val="left" w:pos="3060"/>
        </w:tabs>
        <w:ind w:left="720"/>
        <w:rPr>
          <w:sz w:val="22"/>
        </w:rPr>
      </w:pPr>
      <w:r w:rsidRPr="007A7EC2">
        <w:rPr>
          <w:sz w:val="22"/>
        </w:rPr>
        <w:t>Institutional Repositories</w:t>
      </w:r>
      <w:r w:rsidRPr="007A7EC2">
        <w:rPr>
          <w:sz w:val="22"/>
        </w:rPr>
        <w:tab/>
        <w:t>Carolina Digital Repository</w:t>
      </w:r>
    </w:p>
    <w:p w14:paraId="708AE21B" w14:textId="77777777" w:rsidR="007A7EC2" w:rsidRPr="007A7EC2" w:rsidRDefault="007A7EC2" w:rsidP="007A7EC2">
      <w:pPr>
        <w:tabs>
          <w:tab w:val="left" w:pos="3060"/>
        </w:tabs>
        <w:ind w:left="720"/>
        <w:rPr>
          <w:sz w:val="22"/>
        </w:rPr>
      </w:pPr>
      <w:r w:rsidRPr="007A7EC2">
        <w:rPr>
          <w:sz w:val="22"/>
        </w:rPr>
        <w:t>Genomics</w:t>
      </w:r>
      <w:r w:rsidRPr="007A7EC2">
        <w:rPr>
          <w:sz w:val="22"/>
        </w:rPr>
        <w:tab/>
        <w:t>Broad Institute, Wellcome Trust Sanger Institute, NGS</w:t>
      </w:r>
    </w:p>
    <w:p w14:paraId="1B112A36" w14:textId="77777777" w:rsidR="007A7EC2" w:rsidRPr="007A7EC2" w:rsidRDefault="007A7EC2" w:rsidP="007A7EC2">
      <w:pPr>
        <w:tabs>
          <w:tab w:val="left" w:pos="3060"/>
        </w:tabs>
        <w:ind w:left="720"/>
        <w:rPr>
          <w:sz w:val="22"/>
        </w:rPr>
      </w:pPr>
      <w:r w:rsidRPr="007A7EC2">
        <w:rPr>
          <w:sz w:val="22"/>
        </w:rPr>
        <w:t>Libraries</w:t>
      </w:r>
      <w:r w:rsidRPr="007A7EC2">
        <w:rPr>
          <w:sz w:val="22"/>
        </w:rPr>
        <w:tab/>
        <w:t>French National Library, Texas Digital Libraries</w:t>
      </w:r>
    </w:p>
    <w:p w14:paraId="7C8D0B97" w14:textId="77777777" w:rsidR="007A7EC2" w:rsidRPr="007A7EC2" w:rsidRDefault="007A7EC2" w:rsidP="007A7EC2">
      <w:pPr>
        <w:tabs>
          <w:tab w:val="left" w:pos="3060"/>
        </w:tabs>
        <w:ind w:left="720"/>
        <w:rPr>
          <w:sz w:val="22"/>
        </w:rPr>
      </w:pPr>
      <w:r w:rsidRPr="007A7EC2">
        <w:rPr>
          <w:sz w:val="22"/>
        </w:rPr>
        <w:t>Medicine</w:t>
      </w:r>
      <w:r w:rsidRPr="007A7EC2">
        <w:rPr>
          <w:sz w:val="22"/>
        </w:rPr>
        <w:tab/>
        <w:t>Sick Kids Hospital</w:t>
      </w:r>
    </w:p>
    <w:p w14:paraId="4A02A5FA" w14:textId="77777777" w:rsidR="007A7EC2" w:rsidRPr="007A7EC2" w:rsidRDefault="007A7EC2" w:rsidP="007A7EC2">
      <w:pPr>
        <w:tabs>
          <w:tab w:val="left" w:pos="3060"/>
        </w:tabs>
        <w:ind w:left="720"/>
        <w:rPr>
          <w:sz w:val="22"/>
        </w:rPr>
      </w:pPr>
      <w:r w:rsidRPr="007A7EC2">
        <w:rPr>
          <w:sz w:val="22"/>
        </w:rPr>
        <w:t>Neuroscience</w:t>
      </w:r>
      <w:r w:rsidRPr="007A7EC2">
        <w:rPr>
          <w:sz w:val="22"/>
        </w:rPr>
        <w:tab/>
        <w:t>International Neuroinformatics Coordinating Facility</w:t>
      </w:r>
    </w:p>
    <w:p w14:paraId="62A6470D" w14:textId="77777777" w:rsidR="007A7EC2" w:rsidRPr="007A7EC2" w:rsidRDefault="007A7EC2" w:rsidP="007A7EC2">
      <w:pPr>
        <w:tabs>
          <w:tab w:val="left" w:pos="3060"/>
        </w:tabs>
        <w:ind w:left="720"/>
        <w:rPr>
          <w:sz w:val="22"/>
        </w:rPr>
      </w:pPr>
      <w:r w:rsidRPr="007A7EC2">
        <w:rPr>
          <w:sz w:val="22"/>
        </w:rPr>
        <w:t>Neutrino Physics</w:t>
      </w:r>
      <w:r w:rsidRPr="007A7EC2">
        <w:rPr>
          <w:sz w:val="22"/>
        </w:rPr>
        <w:tab/>
        <w:t>T2K and dChooz neutrino experiments</w:t>
      </w:r>
    </w:p>
    <w:p w14:paraId="2000B8C2" w14:textId="77777777" w:rsidR="007A7EC2" w:rsidRPr="007A7EC2" w:rsidRDefault="007A7EC2" w:rsidP="007A7EC2">
      <w:pPr>
        <w:tabs>
          <w:tab w:val="left" w:pos="3060"/>
        </w:tabs>
        <w:ind w:left="720"/>
        <w:rPr>
          <w:sz w:val="22"/>
        </w:rPr>
      </w:pPr>
      <w:r w:rsidRPr="007A7EC2">
        <w:rPr>
          <w:sz w:val="22"/>
        </w:rPr>
        <w:t>Oceanography</w:t>
      </w:r>
      <w:r w:rsidRPr="007A7EC2">
        <w:rPr>
          <w:sz w:val="22"/>
        </w:rPr>
        <w:tab/>
        <w:t>Ocean Observatories Initiative</w:t>
      </w:r>
    </w:p>
    <w:p w14:paraId="56BCA7B1" w14:textId="77777777" w:rsidR="007A7EC2" w:rsidRPr="007A7EC2" w:rsidRDefault="007A7EC2" w:rsidP="007A7EC2">
      <w:pPr>
        <w:tabs>
          <w:tab w:val="left" w:pos="3060"/>
        </w:tabs>
        <w:ind w:left="720"/>
        <w:rPr>
          <w:sz w:val="22"/>
        </w:rPr>
      </w:pPr>
      <w:r w:rsidRPr="007A7EC2">
        <w:rPr>
          <w:sz w:val="22"/>
        </w:rPr>
        <w:t>Optical Astronomy</w:t>
      </w:r>
      <w:r w:rsidRPr="007A7EC2">
        <w:rPr>
          <w:sz w:val="22"/>
        </w:rPr>
        <w:tab/>
        <w:t>National Optical Astronomy Observatory</w:t>
      </w:r>
    </w:p>
    <w:p w14:paraId="1E7A1A81" w14:textId="77777777" w:rsidR="007A7EC2" w:rsidRPr="007A7EC2" w:rsidRDefault="007A7EC2" w:rsidP="007A7EC2">
      <w:pPr>
        <w:tabs>
          <w:tab w:val="left" w:pos="3060"/>
        </w:tabs>
        <w:ind w:left="720"/>
        <w:rPr>
          <w:sz w:val="22"/>
        </w:rPr>
      </w:pPr>
      <w:r w:rsidRPr="007A7EC2">
        <w:rPr>
          <w:sz w:val="22"/>
        </w:rPr>
        <w:t>Particle Physics</w:t>
      </w:r>
      <w:r w:rsidRPr="007A7EC2">
        <w:rPr>
          <w:sz w:val="22"/>
        </w:rPr>
        <w:tab/>
        <w:t>Indra multi-detector collaboration at IN2P3</w:t>
      </w:r>
    </w:p>
    <w:p w14:paraId="4D577B3D" w14:textId="77777777" w:rsidR="007A7EC2" w:rsidRPr="007A7EC2" w:rsidRDefault="007A7EC2" w:rsidP="007A7EC2">
      <w:pPr>
        <w:tabs>
          <w:tab w:val="left" w:pos="3060"/>
        </w:tabs>
        <w:ind w:left="720"/>
        <w:rPr>
          <w:sz w:val="22"/>
        </w:rPr>
      </w:pPr>
      <w:r w:rsidRPr="007A7EC2">
        <w:rPr>
          <w:sz w:val="22"/>
        </w:rPr>
        <w:t>Plant genetics</w:t>
      </w:r>
      <w:r w:rsidRPr="007A7EC2">
        <w:rPr>
          <w:sz w:val="22"/>
        </w:rPr>
        <w:tab/>
        <w:t>the iPlant Collaborative</w:t>
      </w:r>
    </w:p>
    <w:p w14:paraId="301FABBA" w14:textId="77777777" w:rsidR="007A7EC2" w:rsidRPr="007A7EC2" w:rsidRDefault="007A7EC2" w:rsidP="007A7EC2">
      <w:pPr>
        <w:tabs>
          <w:tab w:val="left" w:pos="3060"/>
        </w:tabs>
        <w:ind w:left="720"/>
        <w:rPr>
          <w:sz w:val="22"/>
        </w:rPr>
      </w:pPr>
      <w:r w:rsidRPr="007A7EC2">
        <w:rPr>
          <w:sz w:val="22"/>
        </w:rPr>
        <w:t>Quantum Chromodynamics</w:t>
      </w:r>
      <w:r w:rsidRPr="007A7EC2">
        <w:rPr>
          <w:sz w:val="22"/>
        </w:rPr>
        <w:tab/>
        <w:t>IN2P3</w:t>
      </w:r>
    </w:p>
    <w:p w14:paraId="4A0BCCDF" w14:textId="77777777" w:rsidR="007A7EC2" w:rsidRPr="007A7EC2" w:rsidRDefault="007A7EC2" w:rsidP="007A7EC2">
      <w:pPr>
        <w:tabs>
          <w:tab w:val="left" w:pos="3060"/>
        </w:tabs>
        <w:ind w:left="720"/>
        <w:rPr>
          <w:sz w:val="22"/>
        </w:rPr>
      </w:pPr>
      <w:r w:rsidRPr="007A7EC2">
        <w:rPr>
          <w:sz w:val="22"/>
        </w:rPr>
        <w:t>Radio Astronomy</w:t>
      </w:r>
      <w:r w:rsidRPr="007A7EC2">
        <w:rPr>
          <w:sz w:val="22"/>
        </w:rPr>
        <w:tab/>
        <w:t>Cyber Square Kilometer Array, TREND, BAOradio</w:t>
      </w:r>
    </w:p>
    <w:p w14:paraId="41BF59BC" w14:textId="77777777" w:rsidR="007A7EC2" w:rsidRPr="007A7EC2" w:rsidRDefault="007A7EC2" w:rsidP="007A7EC2">
      <w:pPr>
        <w:tabs>
          <w:tab w:val="left" w:pos="3060"/>
        </w:tabs>
        <w:ind w:left="720"/>
        <w:rPr>
          <w:sz w:val="22"/>
        </w:rPr>
      </w:pPr>
      <w:r w:rsidRPr="007A7EC2">
        <w:rPr>
          <w:sz w:val="22"/>
        </w:rPr>
        <w:t>Seismology</w:t>
      </w:r>
      <w:r w:rsidRPr="007A7EC2">
        <w:rPr>
          <w:sz w:val="22"/>
        </w:rPr>
        <w:tab/>
        <w:t>Southern California Earthquake Center</w:t>
      </w:r>
    </w:p>
    <w:p w14:paraId="64E24927" w14:textId="77777777" w:rsidR="007A7EC2" w:rsidRPr="007A7EC2" w:rsidRDefault="007A7EC2" w:rsidP="007A7EC2">
      <w:pPr>
        <w:tabs>
          <w:tab w:val="left" w:pos="3060"/>
        </w:tabs>
        <w:ind w:left="720"/>
        <w:rPr>
          <w:sz w:val="22"/>
        </w:rPr>
      </w:pPr>
      <w:r w:rsidRPr="007A7EC2">
        <w:rPr>
          <w:sz w:val="22"/>
        </w:rPr>
        <w:t>Social Science</w:t>
      </w:r>
      <w:r w:rsidRPr="007A7EC2">
        <w:rPr>
          <w:sz w:val="22"/>
        </w:rPr>
        <w:tab/>
        <w:t>Odum, TerraPop</w:t>
      </w:r>
    </w:p>
    <w:p w14:paraId="2F76F0CB" w14:textId="26B5CCA8" w:rsidR="00CF1B17" w:rsidRDefault="00CF1B17" w:rsidP="00F34E35"/>
    <w:p w14:paraId="501A2A9E" w14:textId="47A117C7" w:rsidR="007A7EC2" w:rsidRDefault="007A7EC2" w:rsidP="00F34E35">
      <w:r>
        <w:t>Each community implemented different choices for semantics, policies, and procedures.  A generalization</w:t>
      </w:r>
      <w:r w:rsidR="00E90995">
        <w:t xml:space="preserve"> of the observed usage patterns</w:t>
      </w:r>
      <w:r>
        <w:t xml:space="preserve"> is to identify the intellectual properties of each community with the policies and procedures that </w:t>
      </w:r>
      <w:r>
        <w:lastRenderedPageBreak/>
        <w:t>they implemented.  The underlying data grid middleware was generic infrastructure that provided the mechanisms</w:t>
      </w:r>
      <w:r w:rsidR="00E90995">
        <w:t xml:space="preserve"> needed</w:t>
      </w:r>
      <w:r>
        <w:t xml:space="preserve"> to virtualize interactions with data, information, and knowledge.  The policies and procedures encapsulated the knowledge that was needed to apply the middleware within each domain.</w:t>
      </w:r>
    </w:p>
    <w:p w14:paraId="72C34EDC" w14:textId="77777777" w:rsidR="007A7EC2" w:rsidRDefault="007A7EC2" w:rsidP="00F34E35"/>
    <w:p w14:paraId="486F56CF" w14:textId="6A2E9E91" w:rsidR="007A7EC2" w:rsidRDefault="009F4698" w:rsidP="00F34E35">
      <w:r w:rsidRPr="009012FE">
        <w:rPr>
          <w:b/>
          <w:noProof/>
        </w:rPr>
        <mc:AlternateContent>
          <mc:Choice Requires="wps">
            <w:drawing>
              <wp:anchor distT="0" distB="0" distL="114300" distR="114300" simplePos="0" relativeHeight="251674624" behindDoc="0" locked="0" layoutInCell="1" allowOverlap="1" wp14:anchorId="57EF2A01" wp14:editId="19861737">
                <wp:simplePos x="0" y="0"/>
                <wp:positionH relativeFrom="column">
                  <wp:posOffset>0</wp:posOffset>
                </wp:positionH>
                <wp:positionV relativeFrom="paragraph">
                  <wp:posOffset>859155</wp:posOffset>
                </wp:positionV>
                <wp:extent cx="5486400" cy="4419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486400" cy="441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87FCF" w14:textId="77777777" w:rsidR="009F4698" w:rsidRDefault="009F4698" w:rsidP="00F85E48">
                            <w:r>
                              <w:rPr>
                                <w:noProof/>
                              </w:rPr>
                              <w:drawing>
                                <wp:inline distT="0" distB="0" distL="0" distR="0" wp14:anchorId="2F3D712B" wp14:editId="656D1640">
                                  <wp:extent cx="5197903" cy="3898427"/>
                                  <wp:effectExtent l="25400" t="25400" r="3492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23">
                                            <a:extLst>
                                              <a:ext uri="{28A0092B-C50C-407E-A947-70E740481C1C}">
                                                <a14:useLocalDpi xmlns:a14="http://schemas.microsoft.com/office/drawing/2010/main" val="0"/>
                                              </a:ext>
                                            </a:extLst>
                                          </a:blip>
                                          <a:stretch>
                                            <a:fillRect/>
                                          </a:stretch>
                                        </pic:blipFill>
                                        <pic:spPr>
                                          <a:xfrm>
                                            <a:off x="0" y="0"/>
                                            <a:ext cx="5197903" cy="3898427"/>
                                          </a:xfrm>
                                          <a:prstGeom prst="rect">
                                            <a:avLst/>
                                          </a:prstGeom>
                                          <a:ln>
                                            <a:solidFill>
                                              <a:schemeClr val="tx1"/>
                                            </a:solidFill>
                                          </a:ln>
                                        </pic:spPr>
                                      </pic:pic>
                                    </a:graphicData>
                                  </a:graphic>
                                </wp:inline>
                              </w:drawing>
                            </w:r>
                          </w:p>
                          <w:p w14:paraId="408BCB1E" w14:textId="77777777" w:rsidR="009F4698" w:rsidRDefault="009F4698" w:rsidP="00F85E48"/>
                          <w:p w14:paraId="4DFC0A1A" w14:textId="77777777" w:rsidR="009F4698" w:rsidRDefault="009F4698" w:rsidP="00F85E48">
                            <w:pPr>
                              <w:jc w:val="center"/>
                            </w:pPr>
                            <w:r>
                              <w:t>Figure 8.  Conceptualizing intellectual property as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0;margin-top:67.65pt;width:6in;height: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uv9dECAAAY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" filled="f" stroked="f">
                <v:textbox>
                  <w:txbxContent>
                    <w:p w14:paraId="06387FCF" w14:textId="77777777" w:rsidR="009F4698" w:rsidRDefault="009F4698" w:rsidP="00F85E48">
                      <w:r>
                        <w:rPr>
                          <w:noProof/>
                        </w:rPr>
                        <w:drawing>
                          <wp:inline distT="0" distB="0" distL="0" distR="0" wp14:anchorId="2F3D712B" wp14:editId="656D1640">
                            <wp:extent cx="5197903" cy="3898427"/>
                            <wp:effectExtent l="25400" t="25400" r="3492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24">
                                      <a:extLst>
                                        <a:ext uri="{28A0092B-C50C-407E-A947-70E740481C1C}">
                                          <a14:useLocalDpi xmlns:a14="http://schemas.microsoft.com/office/drawing/2010/main" val="0"/>
                                        </a:ext>
                                      </a:extLst>
                                    </a:blip>
                                    <a:stretch>
                                      <a:fillRect/>
                                    </a:stretch>
                                  </pic:blipFill>
                                  <pic:spPr>
                                    <a:xfrm>
                                      <a:off x="0" y="0"/>
                                      <a:ext cx="5197903" cy="3898427"/>
                                    </a:xfrm>
                                    <a:prstGeom prst="rect">
                                      <a:avLst/>
                                    </a:prstGeom>
                                    <a:ln>
                                      <a:solidFill>
                                        <a:schemeClr val="tx1"/>
                                      </a:solidFill>
                                    </a:ln>
                                  </pic:spPr>
                                </pic:pic>
                              </a:graphicData>
                            </a:graphic>
                          </wp:inline>
                        </w:drawing>
                      </w:r>
                    </w:p>
                    <w:p w14:paraId="408BCB1E" w14:textId="77777777" w:rsidR="009F4698" w:rsidRDefault="009F4698" w:rsidP="00F85E48"/>
                    <w:p w14:paraId="4DFC0A1A" w14:textId="77777777" w:rsidR="009F4698" w:rsidRDefault="009F4698" w:rsidP="00F85E48">
                      <w:pPr>
                        <w:jc w:val="center"/>
                      </w:pPr>
                      <w:r>
                        <w:t>Figure 8.  Conceptualizing intellectual property as policies and procedures.</w:t>
                      </w:r>
                    </w:p>
                  </w:txbxContent>
                </v:textbox>
                <w10:wrap type="square"/>
              </v:shape>
            </w:pict>
          </mc:Fallback>
        </mc:AlternateContent>
      </w:r>
      <w:r w:rsidR="007A7EC2">
        <w:t>This means that intellectual property can be captured and applied within generic data management infrastructure</w:t>
      </w:r>
      <w:r w:rsidR="004E65B2">
        <w:t xml:space="preserve"> to cater to the specific needs of </w:t>
      </w:r>
      <w:r w:rsidR="005124A1">
        <w:t>each</w:t>
      </w:r>
      <w:r w:rsidR="004E65B2">
        <w:t xml:space="preserve"> domain</w:t>
      </w:r>
      <w:r w:rsidR="007A7EC2">
        <w:t>.  T</w:t>
      </w:r>
      <w:r w:rsidR="00D57CD5">
        <w:t>his idea is extended in Figure 8</w:t>
      </w:r>
      <w:r>
        <w:t>, which describes a</w:t>
      </w:r>
      <w:r w:rsidR="007A7EC2">
        <w:t xml:space="preserve"> general approach towards quantifying intellectual property.</w:t>
      </w:r>
      <w:r w:rsidR="00D57CD5">
        <w:t xml:space="preserve">  </w:t>
      </w:r>
    </w:p>
    <w:p w14:paraId="4FC9A7D5" w14:textId="4CC6300F" w:rsidR="00F85E48" w:rsidRDefault="00F85E48" w:rsidP="00F34E35">
      <w:r>
        <w:t>Each domain is characterized by:</w:t>
      </w:r>
    </w:p>
    <w:p w14:paraId="1927D0B2" w14:textId="41CE1EA3" w:rsidR="00D57CD5" w:rsidRDefault="00D57CD5" w:rsidP="00D57CD5">
      <w:pPr>
        <w:pStyle w:val="ListParagraph"/>
        <w:numPr>
          <w:ilvl w:val="0"/>
          <w:numId w:val="9"/>
        </w:numPr>
      </w:pPr>
      <w:r w:rsidRPr="009012FE">
        <w:rPr>
          <w:b/>
        </w:rPr>
        <w:t>Purpose</w:t>
      </w:r>
      <w:r>
        <w:t xml:space="preserve"> driving the formation of a data collection.  The purpose represents a consensus of the persons collaborating on a </w:t>
      </w:r>
      <w:r w:rsidR="004E65B2">
        <w:t xml:space="preserve">data </w:t>
      </w:r>
      <w:r w:rsidR="009F4698">
        <w:t>management</w:t>
      </w:r>
      <w:r w:rsidR="004E65B2">
        <w:t xml:space="preserve"> </w:t>
      </w:r>
      <w:r>
        <w:t>project.</w:t>
      </w:r>
    </w:p>
    <w:p w14:paraId="43AD3447" w14:textId="65CB1142" w:rsidR="00D57CD5" w:rsidRDefault="00D57CD5" w:rsidP="00D57CD5">
      <w:pPr>
        <w:pStyle w:val="ListParagraph"/>
        <w:numPr>
          <w:ilvl w:val="0"/>
          <w:numId w:val="9"/>
        </w:numPr>
      </w:pPr>
      <w:r w:rsidRPr="009012FE">
        <w:rPr>
          <w:b/>
        </w:rPr>
        <w:t>Properties</w:t>
      </w:r>
      <w:r>
        <w:t xml:space="preserve"> that will be maintained for the data collection.  The properties are dependent upon the driving purpose.  If the intent is preservation, then properties related to authenticity, chain of custody, integrity, and original arrangement are desired.  If the intent is formation of a local project repository, then properties related to file format and access controls may be desired.  The properties comprise assertions made about the collection by the developers of the collection.</w:t>
      </w:r>
      <w:r w:rsidR="00615C30">
        <w:t xml:space="preserve"> Other domain centric </w:t>
      </w:r>
      <w:r w:rsidR="00F85E48">
        <w:t>elements</w:t>
      </w:r>
      <w:r w:rsidR="00615C30">
        <w:t xml:space="preserve"> (such as requisite metadata etc</w:t>
      </w:r>
      <w:r w:rsidR="00F85E48">
        <w:t>.</w:t>
      </w:r>
      <w:r w:rsidR="00615C30">
        <w:t>) can also be</w:t>
      </w:r>
      <w:r w:rsidR="00F85E48">
        <w:t xml:space="preserve"> defined as</w:t>
      </w:r>
      <w:r w:rsidR="00615C30">
        <w:t xml:space="preserve"> part of these properties.</w:t>
      </w:r>
    </w:p>
    <w:p w14:paraId="3E2FEEEE" w14:textId="220504EC" w:rsidR="00D57CD5" w:rsidRDefault="00D57CD5" w:rsidP="00D57CD5">
      <w:pPr>
        <w:pStyle w:val="ListParagraph"/>
        <w:numPr>
          <w:ilvl w:val="0"/>
          <w:numId w:val="9"/>
        </w:numPr>
      </w:pPr>
      <w:r w:rsidRPr="009012FE">
        <w:rPr>
          <w:b/>
        </w:rPr>
        <w:lastRenderedPageBreak/>
        <w:t>Policies</w:t>
      </w:r>
      <w:r>
        <w:t xml:space="preserve"> that enforce the desired properties.  The policies control when and where management procedures are executed.  Multiple policies may be needed for each desired property.  In general, policies are needed to gene</w:t>
      </w:r>
      <w:r w:rsidR="00E90995">
        <w:t>rate the desired property.  P</w:t>
      </w:r>
      <w:r>
        <w:t xml:space="preserve">olicies are </w:t>
      </w:r>
      <w:r w:rsidR="00E90995">
        <w:t xml:space="preserve">also </w:t>
      </w:r>
      <w:r>
        <w:t>needed to validate whether the desired property has been maintained over time.  Since the distributed environment is subject to multiple forms of risk (network outage, storage system maintenance, operator error, policy change), assessment criteria are needed that can be checked to verify compliance with the desired collection properties.  Policies are turned into computer actionable rules.</w:t>
      </w:r>
      <w:r w:rsidR="00615C30">
        <w:t xml:space="preserve"> </w:t>
      </w:r>
      <w:r w:rsidR="00F85E48">
        <w:t xml:space="preserve"> Example </w:t>
      </w:r>
      <w:r w:rsidR="00615C30">
        <w:t xml:space="preserve">domain centric policies </w:t>
      </w:r>
      <w:r w:rsidR="00F85E48">
        <w:t>include</w:t>
      </w:r>
      <w:r w:rsidR="00615C30">
        <w:t xml:space="preserve"> enforcing authority (</w:t>
      </w:r>
      <w:r w:rsidR="001E5EBE">
        <w:t>e. g</w:t>
      </w:r>
      <w:r w:rsidR="00615C30">
        <w:t>. HIPAA policies), integrity checks</w:t>
      </w:r>
      <w:r w:rsidR="00F85E48">
        <w:t>,</w:t>
      </w:r>
      <w:r w:rsidR="00615C30">
        <w:t xml:space="preserve"> data cle</w:t>
      </w:r>
      <w:r w:rsidR="00F85E48">
        <w:t>a</w:t>
      </w:r>
      <w:r w:rsidR="00615C30">
        <w:t xml:space="preserve">nsing, </w:t>
      </w:r>
      <w:r w:rsidR="00F85E48">
        <w:t>metadata extraction, etc.</w:t>
      </w:r>
      <w:r w:rsidR="00615C30">
        <w:t>.</w:t>
      </w:r>
    </w:p>
    <w:p w14:paraId="2E1F5480" w14:textId="77818A11" w:rsidR="00D57CD5" w:rsidRDefault="00D57CD5" w:rsidP="00D57CD5">
      <w:pPr>
        <w:pStyle w:val="ListParagraph"/>
        <w:numPr>
          <w:ilvl w:val="0"/>
          <w:numId w:val="9"/>
        </w:numPr>
      </w:pPr>
      <w:r w:rsidRPr="009012FE">
        <w:rPr>
          <w:b/>
        </w:rPr>
        <w:t>Procedures</w:t>
      </w:r>
      <w:r>
        <w:t xml:space="preserve"> </w:t>
      </w:r>
      <w:r w:rsidR="00605088">
        <w:t xml:space="preserve">codify policies </w:t>
      </w:r>
      <w:r w:rsidR="00F85E48">
        <w:t xml:space="preserve">and </w:t>
      </w:r>
      <w:r>
        <w:t xml:space="preserve">apply the </w:t>
      </w:r>
      <w:r w:rsidR="0042366A">
        <w:t>operations needed to generate a desired property.  Examples include procedures to create a replica, extract metadata, set access controls, manage a quota, ch</w:t>
      </w:r>
      <w:r w:rsidR="00E90995">
        <w:t>eck a retention period, apply disposition</w:t>
      </w:r>
      <w:r w:rsidR="0042366A">
        <w:t>, etc.  Procedures are turned into computer executable workflows.</w:t>
      </w:r>
    </w:p>
    <w:p w14:paraId="33D3DCB1" w14:textId="1EF4BE0E" w:rsidR="0042366A" w:rsidRDefault="0042366A" w:rsidP="00D57CD5">
      <w:pPr>
        <w:pStyle w:val="ListParagraph"/>
        <w:numPr>
          <w:ilvl w:val="0"/>
          <w:numId w:val="9"/>
        </w:numPr>
      </w:pPr>
      <w:r w:rsidRPr="009012FE">
        <w:rPr>
          <w:b/>
        </w:rPr>
        <w:t>Persistent state information</w:t>
      </w:r>
      <w:r>
        <w:t xml:space="preserve"> is generated each time a procedure is run.  The persistent state is stored as metadata attributes on one of the name spaces managed by the data grid.  The state information can be queried for compliance at a point in time.  To verify compliance over time, the system parses audit trails.</w:t>
      </w:r>
      <w:r w:rsidR="00605088">
        <w:t xml:space="preserve"> Persistent state information in turn codify the properties</w:t>
      </w:r>
      <w:r w:rsidR="00F85E48">
        <w:t xml:space="preserve"> of a collection</w:t>
      </w:r>
      <w:r w:rsidR="00605088">
        <w:t>.</w:t>
      </w:r>
    </w:p>
    <w:p w14:paraId="68026AAB" w14:textId="77777777" w:rsidR="00F85E48" w:rsidRDefault="00F85E48" w:rsidP="009012FE"/>
    <w:p w14:paraId="616E3653" w14:textId="3BA326CA" w:rsidR="007D6339" w:rsidRDefault="00F85E48" w:rsidP="00F34E35">
      <w:r>
        <w:t>A</w:t>
      </w:r>
      <w:r w:rsidR="0042366A">
        <w:t xml:space="preserve"> viable policy-based data management system must be sufficiently sophisticated to handle a wide variety of data management applications.  The iRODS data grid provides 317 micro-services </w:t>
      </w:r>
      <w:r>
        <w:t>that can be used to compose</w:t>
      </w:r>
      <w:r w:rsidR="0042366A">
        <w:t xml:space="preserve"> procedures, and manages 338 persistent state information attributes.  In practice, each domain implements a small number of policies.  </w:t>
      </w:r>
      <w:r w:rsidR="00701AC8">
        <w:t>Out of the box, t</w:t>
      </w:r>
      <w:r w:rsidR="0042366A">
        <w:t xml:space="preserve">he </w:t>
      </w:r>
      <w:r w:rsidR="00701AC8">
        <w:t xml:space="preserve">iRODS </w:t>
      </w:r>
      <w:r w:rsidR="0042366A">
        <w:t>data grid</w:t>
      </w:r>
      <w:r w:rsidR="00E90995">
        <w:t xml:space="preserve"> source</w:t>
      </w:r>
      <w:r w:rsidR="0042366A">
        <w:t xml:space="preserve"> provides 11 default policies for enforcing data sharing properties.  Communities typically add another 5 policies </w:t>
      </w:r>
      <w:r w:rsidR="00701AC8">
        <w:t xml:space="preserve">on the average </w:t>
      </w:r>
      <w:r w:rsidR="0042366A">
        <w:t xml:space="preserve">to control desired features.  However, the range of policies that are </w:t>
      </w:r>
      <w:r w:rsidR="00701AC8">
        <w:t xml:space="preserve">required to support a fully customized data grid </w:t>
      </w:r>
      <w:r w:rsidR="009F4698">
        <w:t>may be</w:t>
      </w:r>
      <w:r w:rsidR="0042366A">
        <w:t xml:space="preserve"> very large.</w:t>
      </w:r>
    </w:p>
    <w:p w14:paraId="2B03C247" w14:textId="77777777" w:rsidR="0042366A" w:rsidRDefault="0042366A" w:rsidP="00F34E35"/>
    <w:p w14:paraId="34F686BD" w14:textId="709BC85D" w:rsidR="0042366A" w:rsidRDefault="0042366A" w:rsidP="00F34E35">
      <w:r>
        <w:t>Each policy and procedure set encapsulates the domain knowledge needed to manage a specific domain application.</w:t>
      </w:r>
    </w:p>
    <w:p w14:paraId="42729261" w14:textId="77777777" w:rsidR="00B7150F" w:rsidRDefault="00B7150F" w:rsidP="00F34E35"/>
    <w:p w14:paraId="40667039" w14:textId="32FB7A09" w:rsidR="00B7150F" w:rsidRDefault="00B7150F" w:rsidP="00F34E35">
      <w:r>
        <w:t>F</w:t>
      </w:r>
      <w:r w:rsidRPr="00B7150F">
        <w:rPr>
          <w:b/>
        </w:rPr>
        <w:t xml:space="preserve">ederation through Interoperability Mechanisms:  </w:t>
      </w:r>
      <w:r>
        <w:t>Within the DataNet Federation Consortium</w:t>
      </w:r>
      <w:r w:rsidR="00701AC8">
        <w:t xml:space="preserve"> [</w:t>
      </w:r>
      <w:r w:rsidR="0095693B">
        <w:t>14</w:t>
      </w:r>
      <w:r w:rsidR="00701AC8">
        <w:t>]</w:t>
      </w:r>
      <w:r>
        <w:t>, the iRODS data grid is being used to create national data cyberinfrastructure through the federation of existing data repositories.  In the process, interoperability mechanisms have been implemented that enable three basic functions:</w:t>
      </w:r>
    </w:p>
    <w:p w14:paraId="624154FC" w14:textId="368F80B0" w:rsidR="00B7150F" w:rsidRDefault="00B7150F" w:rsidP="00B7150F">
      <w:pPr>
        <w:pStyle w:val="ListParagraph"/>
        <w:numPr>
          <w:ilvl w:val="0"/>
          <w:numId w:val="11"/>
        </w:numPr>
      </w:pPr>
      <w:r>
        <w:t>Micro-services that retrieve data from a remote repository using the protocol of the remote repository.  This is a traditional approach similar to brokering, in which data are retrieved for analysis at the local computer.</w:t>
      </w:r>
      <w:r w:rsidR="00702A69">
        <w:t xml:space="preserve">  The data are moved to the processing</w:t>
      </w:r>
      <w:r w:rsidR="00E9275E">
        <w:t xml:space="preserve"> engine</w:t>
      </w:r>
      <w:r w:rsidR="00702A69">
        <w:t>.</w:t>
      </w:r>
    </w:p>
    <w:p w14:paraId="73CB3D7B" w14:textId="2C17423C" w:rsidR="00B7150F" w:rsidRDefault="00B7150F" w:rsidP="00B7150F">
      <w:pPr>
        <w:pStyle w:val="ListParagraph"/>
        <w:numPr>
          <w:ilvl w:val="0"/>
          <w:numId w:val="11"/>
        </w:numPr>
      </w:pPr>
      <w:r>
        <w:lastRenderedPageBreak/>
        <w:t>Middleware servers that enable application o</w:t>
      </w:r>
      <w:r w:rsidR="00702A69">
        <w:t>f the desired operations at the remote repository.  In this case, the operations are moved to the data.</w:t>
      </w:r>
    </w:p>
    <w:p w14:paraId="66DFA058" w14:textId="37FE0BC2" w:rsidR="00702A69" w:rsidRDefault="00702A69" w:rsidP="00B7150F">
      <w:pPr>
        <w:pStyle w:val="ListParagraph"/>
        <w:numPr>
          <w:ilvl w:val="0"/>
          <w:numId w:val="11"/>
        </w:numPr>
      </w:pPr>
      <w:r>
        <w:t>Policies that control where the operations are performed.</w:t>
      </w:r>
    </w:p>
    <w:p w14:paraId="1354D1B7" w14:textId="70F5849E" w:rsidR="00702A69" w:rsidRDefault="00702A69" w:rsidP="00702A69">
      <w:r>
        <w:t xml:space="preserve">Using these three mechanisms, the DataNet Federation Consortium has been able to support interoperability with web services, </w:t>
      </w:r>
      <w:r w:rsidR="00701AC8">
        <w:t xml:space="preserve">sensor networks, </w:t>
      </w:r>
      <w:r>
        <w:t>union catalogs, data repositories, workflow environments, databases, message buses, and systems that communicate over the internet.</w:t>
      </w:r>
    </w:p>
    <w:p w14:paraId="542659B3" w14:textId="77777777" w:rsidR="00702A69" w:rsidRDefault="00702A69" w:rsidP="00702A69"/>
    <w:p w14:paraId="261E45BE" w14:textId="63DA7CC2" w:rsidR="00702A69" w:rsidRDefault="00702A69" w:rsidP="00702A69">
      <w:r>
        <w:t>The expectation is that these three interoperability mechanisms are sufficient to federate all existing data management applications.  The DataNet Federation Consortium currently federates systems across national projects in oceanography, cognitive science, plant biology, engineering, hydrology, and social science.</w:t>
      </w:r>
    </w:p>
    <w:p w14:paraId="2E245AC0" w14:textId="77777777" w:rsidR="006F246F" w:rsidRDefault="006F246F" w:rsidP="00F34E35"/>
    <w:p w14:paraId="0A20F18A" w14:textId="7485682F" w:rsidR="006F246F" w:rsidRDefault="006F246F" w:rsidP="00F34E35">
      <w:r w:rsidRPr="006F246F">
        <w:rPr>
          <w:b/>
        </w:rPr>
        <w:t>Quantifying the Broadening of Impact:</w:t>
      </w:r>
      <w:r>
        <w:t xml:space="preserve">  A notable requirement for National Science Foundation funding is the demonstration that the research results will impact a broad user community.  A mechanism has been needed to quantify the impact.  One way to do this has been the observation that the set of policies and procedures used to manage a collection evolve over time to represent the </w:t>
      </w:r>
      <w:r w:rsidR="00701AC8">
        <w:t xml:space="preserve">current </w:t>
      </w:r>
      <w:r>
        <w:t xml:space="preserve">requirements of each broader user community.  It is possible to quantify impact by tracking the policy evolution.  </w:t>
      </w:r>
      <w:r w:rsidR="00B7150F">
        <w:t xml:space="preserve">This can be represented </w:t>
      </w:r>
      <w:r w:rsidR="00701AC8">
        <w:t xml:space="preserve">through </w:t>
      </w:r>
      <w:r w:rsidR="00B7150F">
        <w:t>a collection life cycle:</w:t>
      </w:r>
    </w:p>
    <w:p w14:paraId="43BA4693" w14:textId="106E171A" w:rsidR="006F246F" w:rsidRDefault="006F246F" w:rsidP="006F246F">
      <w:pPr>
        <w:pStyle w:val="ListParagraph"/>
        <w:numPr>
          <w:ilvl w:val="0"/>
          <w:numId w:val="10"/>
        </w:numPr>
      </w:pPr>
      <w:r>
        <w:t>Project collection – usually the team members have complete tacit knowledge about the acceptable semantics, data formats, and analysis procedures used with the team data sets.  The data sets are organized in a project collection with minimal metadata.</w:t>
      </w:r>
      <w:r w:rsidR="00701AC8">
        <w:t xml:space="preserve"> The </w:t>
      </w:r>
      <w:r w:rsidR="00E9275E">
        <w:t xml:space="preserve">data </w:t>
      </w:r>
      <w:r w:rsidR="00701AC8">
        <w:t>sharing is limited to the group, and is mostly through shared and mounted file space</w:t>
      </w:r>
      <w:r w:rsidR="00E9275E">
        <w:t>s</w:t>
      </w:r>
      <w:r w:rsidR="00701AC8">
        <w:t>.</w:t>
      </w:r>
    </w:p>
    <w:p w14:paraId="52360D83" w14:textId="7BA8120F" w:rsidR="006F246F" w:rsidRDefault="006F246F" w:rsidP="006F246F">
      <w:pPr>
        <w:pStyle w:val="ListParagraph"/>
        <w:numPr>
          <w:ilvl w:val="0"/>
          <w:numId w:val="10"/>
        </w:numPr>
      </w:pPr>
      <w:r>
        <w:t>Shared collection – when data products are shared with other groups and institutions, the tacit knowledge must be made explicit.</w:t>
      </w:r>
      <w:r w:rsidR="00F5663C">
        <w:t xml:space="preserve">  Po</w:t>
      </w:r>
      <w:r w:rsidR="00B7150F">
        <w:t>licies are needed to govern the</w:t>
      </w:r>
      <w:r w:rsidR="00F5663C">
        <w:t xml:space="preserve"> application of semantic terms, and the transformation of data to required data formats.  Policies are also needed to enforce </w:t>
      </w:r>
      <w:r w:rsidR="00701AC8">
        <w:t xml:space="preserve">authentication, </w:t>
      </w:r>
      <w:r w:rsidR="00F5663C">
        <w:t>access controls and data distribution.</w:t>
      </w:r>
      <w:r w:rsidR="00701AC8">
        <w:t xml:space="preserve"> Policies for</w:t>
      </w:r>
      <w:r w:rsidR="00E9275E">
        <w:t xml:space="preserve"> data manipulation</w:t>
      </w:r>
      <w:r w:rsidR="00701AC8">
        <w:t xml:space="preserve"> </w:t>
      </w:r>
      <w:r w:rsidR="00E9275E">
        <w:t>may also</w:t>
      </w:r>
      <w:r w:rsidR="00701AC8">
        <w:t xml:space="preserve"> </w:t>
      </w:r>
      <w:r w:rsidR="00E9275E">
        <w:t>b</w:t>
      </w:r>
      <w:r w:rsidR="00701AC8">
        <w:t>e nee</w:t>
      </w:r>
      <w:r w:rsidR="00E9275E">
        <w:t>ded.</w:t>
      </w:r>
    </w:p>
    <w:p w14:paraId="625878D8" w14:textId="79C9C6E0" w:rsidR="00F5663C" w:rsidRDefault="00F5663C" w:rsidP="006F246F">
      <w:pPr>
        <w:pStyle w:val="ListParagraph"/>
        <w:numPr>
          <w:ilvl w:val="0"/>
          <w:numId w:val="10"/>
        </w:numPr>
      </w:pPr>
      <w:r>
        <w:t xml:space="preserve">Published collection – when the results are formally published, policies are needed to enforce domain standards for semantics and data formats.  Policies are </w:t>
      </w:r>
      <w:r w:rsidR="00E9275E">
        <w:t xml:space="preserve">also </w:t>
      </w:r>
      <w:r>
        <w:t xml:space="preserve">needed to generate persistent identifiers, </w:t>
      </w:r>
      <w:r w:rsidR="00E9275E">
        <w:t xml:space="preserve">to </w:t>
      </w:r>
      <w:r>
        <w:t>validate integrity</w:t>
      </w:r>
      <w:r w:rsidR="00E9275E">
        <w:t>,</w:t>
      </w:r>
      <w:r w:rsidR="00701AC8">
        <w:t xml:space="preserve"> and to track provenance</w:t>
      </w:r>
      <w:r>
        <w:t>.</w:t>
      </w:r>
    </w:p>
    <w:p w14:paraId="2A7C7DE7" w14:textId="00133A4C" w:rsidR="00F5663C" w:rsidRDefault="00F5663C" w:rsidP="006F246F">
      <w:pPr>
        <w:pStyle w:val="ListParagraph"/>
        <w:numPr>
          <w:ilvl w:val="0"/>
          <w:numId w:val="10"/>
        </w:numPr>
      </w:pPr>
      <w:r>
        <w:t>Processing pipe</w:t>
      </w:r>
      <w:r w:rsidR="009F4698">
        <w:t>line – when the data sets are</w:t>
      </w:r>
      <w:r>
        <w:t xml:space="preserve"> used in an analysis service, procedures are needed that support the manipulation and transformation of the data.</w:t>
      </w:r>
    </w:p>
    <w:p w14:paraId="71D3730F" w14:textId="3E988D7D" w:rsidR="00F5663C" w:rsidRDefault="00F5663C" w:rsidP="006F246F">
      <w:pPr>
        <w:pStyle w:val="ListParagraph"/>
        <w:numPr>
          <w:ilvl w:val="0"/>
          <w:numId w:val="10"/>
        </w:numPr>
      </w:pPr>
      <w:r>
        <w:t xml:space="preserve">Preserved reference collection – when the results are archived for use by future researchers, a sufficient context is needed that enables a person in the future to interpret the data.  This is typically encapsulated in representation information.  At the same time, the policies and procedures also need to be </w:t>
      </w:r>
      <w:r w:rsidR="00847C0B">
        <w:t>preserved</w:t>
      </w:r>
      <w:r>
        <w:t xml:space="preserve"> so a future archivist can verify that the collection was managed correctly.</w:t>
      </w:r>
    </w:p>
    <w:p w14:paraId="11B279F2" w14:textId="77777777" w:rsidR="006F246F" w:rsidRDefault="006F246F" w:rsidP="00F34E35"/>
    <w:p w14:paraId="02E93838" w14:textId="4FFFDC21" w:rsidR="00F5663C" w:rsidRDefault="00F5663C" w:rsidP="00F34E35">
      <w:r>
        <w:t>The broadening of user impact can be quantified through the evolution of the policies and procedures that are used to manage a data collection.</w:t>
      </w:r>
    </w:p>
    <w:p w14:paraId="481E5DC3" w14:textId="77777777" w:rsidR="00F5663C" w:rsidRDefault="00F5663C" w:rsidP="00F34E35"/>
    <w:p w14:paraId="06FCF982" w14:textId="21BE84A9" w:rsidR="006F246F" w:rsidRPr="006F246F" w:rsidRDefault="006F246F" w:rsidP="00F34E35">
      <w:pPr>
        <w:rPr>
          <w:b/>
        </w:rPr>
      </w:pPr>
      <w:r w:rsidRPr="006F246F">
        <w:rPr>
          <w:b/>
        </w:rPr>
        <w:t>V.  Future Data Management Infrastructure</w:t>
      </w:r>
      <w:r w:rsidR="00ED0F43">
        <w:rPr>
          <w:b/>
        </w:rPr>
        <w:t xml:space="preserve"> and Conclusion</w:t>
      </w:r>
    </w:p>
    <w:p w14:paraId="31FC935E" w14:textId="77777777" w:rsidR="006F246F" w:rsidRDefault="006F246F" w:rsidP="00F34E35"/>
    <w:p w14:paraId="5962CD09" w14:textId="47D5C003" w:rsidR="006F246F" w:rsidRDefault="006F246F" w:rsidP="00F34E35">
      <w:r>
        <w:t xml:space="preserve">The current generation of data grid middleware is still evolving.  New opportunities to apply policies to control the data management environment are emerging.  We consider </w:t>
      </w:r>
      <w:r w:rsidR="000418B7">
        <w:t>thr</w:t>
      </w:r>
      <w:r w:rsidR="00E9275E">
        <w:t>e</w:t>
      </w:r>
      <w:r w:rsidR="000418B7">
        <w:t xml:space="preserve">e </w:t>
      </w:r>
      <w:r>
        <w:t>specific extensions, the inclusion of policies within storage controllers,  the integration of policy-based data management with policy-based networks</w:t>
      </w:r>
      <w:r w:rsidR="000418B7">
        <w:t xml:space="preserve">, and </w:t>
      </w:r>
      <w:r w:rsidR="00E9275E">
        <w:t xml:space="preserve">the </w:t>
      </w:r>
      <w:r w:rsidR="000418B7">
        <w:t xml:space="preserve">extension of </w:t>
      </w:r>
      <w:r w:rsidR="00E9275E">
        <w:t>a knowledge</w:t>
      </w:r>
      <w:r w:rsidR="000418B7">
        <w:t xml:space="preserve"> grid </w:t>
      </w:r>
      <w:r w:rsidR="00E9275E">
        <w:t>in</w:t>
      </w:r>
      <w:r w:rsidR="000418B7">
        <w:t>to a wisdom grid</w:t>
      </w:r>
      <w:r>
        <w:t>.</w:t>
      </w:r>
    </w:p>
    <w:p w14:paraId="3B589496" w14:textId="77777777" w:rsidR="0042366A" w:rsidRDefault="0042366A" w:rsidP="00F34E35"/>
    <w:p w14:paraId="7775B95D" w14:textId="77777777" w:rsidR="006F246F" w:rsidRDefault="006F246F" w:rsidP="006F246F">
      <w:r w:rsidRPr="007D6339">
        <w:rPr>
          <w:b/>
        </w:rPr>
        <w:t>Feature-Based Indexing:</w:t>
      </w:r>
      <w:r>
        <w:t xml:space="preserve">  A major challenge in constructing a collection is the assignment of appropriate descriptive metadata.  This is a laborious task, which potentially is non-scalable.  A major question is whether the act of description can be turned into the application of a knowledge procedure, that is automatically applied by a policy-based system.  Normally descriptive metadata are used to provide a context for the contents of a file.  An alternative approach is to use descriptive metadata to define features present within a file.  If the desired features can be extracted by a knowledge procedure, than the generation of descriptive metadata can be automated. </w:t>
      </w:r>
    </w:p>
    <w:p w14:paraId="7A552283" w14:textId="29900106" w:rsidR="006F246F" w:rsidRDefault="006F246F" w:rsidP="006F246F">
      <w:r>
        <w:br/>
        <w:t xml:space="preserve">This approach is being explored in collaboration with storage vendors.  The Data Direct Networks storage controllers now support virtual machine environments that can be used to run the iRODS data grid.  When a file is written to the storage system, the data grid can apply feature extraction procedures automatically, and index the stored data by the features </w:t>
      </w:r>
      <w:r w:rsidR="00847C0B">
        <w:t>present</w:t>
      </w:r>
      <w:r>
        <w:t xml:space="preserve"> within each record.</w:t>
      </w:r>
      <w:r w:rsidR="00701AC8">
        <w:t xml:space="preserve"> Hence, one can construct a domain-centric data-grid appliance that can perform automated data management </w:t>
      </w:r>
      <w:r w:rsidR="00E9275E">
        <w:t>including automated data description</w:t>
      </w:r>
      <w:r w:rsidR="00701AC8">
        <w:t>.</w:t>
      </w:r>
    </w:p>
    <w:p w14:paraId="2F19F400" w14:textId="77777777" w:rsidR="006F246F" w:rsidRDefault="006F246F" w:rsidP="00F34E35">
      <w:pPr>
        <w:rPr>
          <w:b/>
        </w:rPr>
      </w:pPr>
    </w:p>
    <w:p w14:paraId="058741D6" w14:textId="1484062B" w:rsidR="00E9275E" w:rsidRDefault="00515BD9" w:rsidP="00F34E35">
      <w:r>
        <w:rPr>
          <w:b/>
        </w:rPr>
        <w:t xml:space="preserve">Software </w:t>
      </w:r>
      <w:r w:rsidR="00B7150F">
        <w:rPr>
          <w:b/>
        </w:rPr>
        <w:t>Defined Networks (2013</w:t>
      </w:r>
      <w:r w:rsidR="007D6339" w:rsidRPr="00CF1B17">
        <w:rPr>
          <w:b/>
        </w:rPr>
        <w:t>):</w:t>
      </w:r>
      <w:r w:rsidR="007D6339">
        <w:t xml:space="preserve">  Policy-based systems are also appearing within networks that are based on the OpenFlow router.  Routing decisions can be controlled by policies that are used to manage</w:t>
      </w:r>
      <w:r w:rsidR="00CF1B17">
        <w:t xml:space="preserve"> path-selection within the router.  A demonstration of the use policy-based data grids to control policy-based routing was</w:t>
      </w:r>
      <w:r w:rsidR="00B7150F">
        <w:t xml:space="preserve"> given at the Supercomputing ’13</w:t>
      </w:r>
      <w:r w:rsidR="00CF1B17">
        <w:t xml:space="preserve"> conference</w:t>
      </w:r>
      <w:r w:rsidR="00701AC8">
        <w:t xml:space="preserve"> [</w:t>
      </w:r>
      <w:r w:rsidR="00CA5CEB">
        <w:t>15</w:t>
      </w:r>
      <w:r w:rsidR="00701AC8">
        <w:t>]</w:t>
      </w:r>
      <w:r w:rsidR="00CF1B17">
        <w:t xml:space="preserve">.  The iRODS data grid managed information about the location of files, their access controls, and the availability of replicas.  Within the iRODS data grid, a parallel data transfer was set up, with subsets of the file sent in parallel over the network.  The iRODS data grid communicated with the OpenFlow router to select a disjoint network path for each of the parallel data transfer channels.  </w:t>
      </w:r>
      <w:r w:rsidR="00701AC8">
        <w:t xml:space="preserve"> </w:t>
      </w:r>
    </w:p>
    <w:p w14:paraId="5027B721" w14:textId="77777777" w:rsidR="00E9275E" w:rsidRDefault="00E9275E" w:rsidP="00F34E35"/>
    <w:p w14:paraId="5EB308F3" w14:textId="2CA126DB" w:rsidR="00CF1B17" w:rsidRDefault="00701AC8" w:rsidP="00F34E35">
      <w:r>
        <w:t xml:space="preserve">The idea here is that a traditional data grid views the network as a black box (and vice versa, the network is opaque with respect to the applications at the end-points of the communication pipeline). </w:t>
      </w:r>
      <w:r w:rsidR="00E9275E">
        <w:t xml:space="preserve"> </w:t>
      </w:r>
      <w:r>
        <w:t xml:space="preserve">If the data grid is able to export some of its policies to be implemented </w:t>
      </w:r>
      <w:r w:rsidR="00E9275E">
        <w:t>b</w:t>
      </w:r>
      <w:r>
        <w:t xml:space="preserve">y the network (through the OpenFlow router) and also </w:t>
      </w:r>
      <w:r w:rsidR="00E9275E">
        <w:t xml:space="preserve">is </w:t>
      </w:r>
      <w:r>
        <w:t>a</w:t>
      </w:r>
      <w:r w:rsidR="000418B7">
        <w:t>b</w:t>
      </w:r>
      <w:r>
        <w:t xml:space="preserve">le to get feedback from these routers about network </w:t>
      </w:r>
      <w:r w:rsidR="000418B7">
        <w:t xml:space="preserve">topology, congestion and </w:t>
      </w:r>
      <w:r w:rsidR="000418B7">
        <w:lastRenderedPageBreak/>
        <w:t xml:space="preserve">statistics, the two can work together to mutual advantage and improve performance. </w:t>
      </w:r>
      <w:r w:rsidR="00E9275E">
        <w:t xml:space="preserve"> </w:t>
      </w:r>
      <w:r w:rsidR="000418B7">
        <w:t xml:space="preserve">Having this exchange of information can be used in multiple ways to improve </w:t>
      </w:r>
      <w:r w:rsidR="00E9275E">
        <w:t>data</w:t>
      </w:r>
      <w:r w:rsidR="000418B7">
        <w:t xml:space="preserve"> grid operation</w:t>
      </w:r>
      <w:r w:rsidR="00E9275E">
        <w:t>s</w:t>
      </w:r>
      <w:r w:rsidR="000418B7">
        <w:t>.</w:t>
      </w:r>
    </w:p>
    <w:p w14:paraId="500618D7" w14:textId="77777777" w:rsidR="00CF1B17" w:rsidRDefault="00CF1B17" w:rsidP="00F34E35"/>
    <w:p w14:paraId="65B79B9E" w14:textId="0DBC0241" w:rsidR="00CF1B17" w:rsidRDefault="000418B7" w:rsidP="00F34E35">
      <w:r>
        <w:t xml:space="preserve">One way to exchange information is through </w:t>
      </w:r>
      <w:r w:rsidR="00CF1B17">
        <w:t xml:space="preserve">the integration of control policies between data grids and networks.  Since both systems are managing distributed state information, it is reasonable to think about formally moving data grid middleware into network routers.  It will then be possible to access data by name (or metadata attribute) instead of an IP address, </w:t>
      </w:r>
      <w:r w:rsidR="00BE6E6E">
        <w:t xml:space="preserve">enforce </w:t>
      </w:r>
      <w:r w:rsidR="00CF1B17">
        <w:t xml:space="preserve">access controls within the network, </w:t>
      </w:r>
      <w:r w:rsidR="00BE6E6E">
        <w:t xml:space="preserve">cache </w:t>
      </w:r>
      <w:r w:rsidR="00CF1B17">
        <w:t xml:space="preserve">data within the network, and </w:t>
      </w:r>
      <w:r w:rsidR="00BE6E6E">
        <w:t xml:space="preserve">debug </w:t>
      </w:r>
      <w:r w:rsidR="00CF1B17">
        <w:t xml:space="preserve">data transfers by single-stepping through the data grid procedures (currently supported in iRODS).  </w:t>
      </w:r>
    </w:p>
    <w:p w14:paraId="7B24F51B" w14:textId="77777777" w:rsidR="00CF1B17" w:rsidRDefault="00CF1B17" w:rsidP="00F34E35"/>
    <w:p w14:paraId="39CCB65B" w14:textId="5BF518F0" w:rsidR="00CF1B17" w:rsidRDefault="00CF1B17" w:rsidP="00F34E35">
      <w:r>
        <w:t>The approach would rely upon the data grid to provide a context for the files through their organization in collections.  A file would be referenced by its membership in a collection, with the data grid controlling the access (authentication and authorization).  The data grid would negotiate with the network for selection of the replica to use as the starting point, and the network path to use for data delivery.  In the long term, data grid middleware should disappear as separate infrastructure, and be subsumed within the network.</w:t>
      </w:r>
      <w:r w:rsidR="000418B7">
        <w:t xml:space="preserve"> The upshot of this would </w:t>
      </w:r>
      <w:r w:rsidR="00BE6E6E">
        <w:t>b</w:t>
      </w:r>
      <w:r w:rsidR="000418B7">
        <w:t xml:space="preserve">e collection-oriented addressing of objects instead of name-oriented or ip-oriented addressing for data ingestion, movement and access. </w:t>
      </w:r>
    </w:p>
    <w:p w14:paraId="5D2B878C" w14:textId="77777777" w:rsidR="00841353" w:rsidRDefault="00841353" w:rsidP="00F34E35"/>
    <w:p w14:paraId="69FBEBFC" w14:textId="1E7961F6" w:rsidR="00841353" w:rsidRDefault="00ED0F43" w:rsidP="00F34E35">
      <w:r w:rsidRPr="00014E3B">
        <w:rPr>
          <w:b/>
        </w:rPr>
        <w:t>Wisdom:</w:t>
      </w:r>
      <w:r>
        <w:t xml:space="preserve">  Current virtualization mechanisms focus on data, information, and knowledge.  Future data management systems will also need to support virtualization of wisdom.  If we can think of wisdom as the evaluation of relationships between relationships, then we can build a computer actionable form of wisdom.  Within the iRODS data grid, wisdom is captured as hard-coded policy-enforcement points.</w:t>
      </w:r>
      <w:r w:rsidR="00014E3B">
        <w:t xml:space="preserve">  To make application of wisdom a dynamic process, the system will need to implement mechanisms that enable wisdom-based decisions to be selected as systemic processes that apply to all i</w:t>
      </w:r>
      <w:r w:rsidR="00B7150F">
        <w:t>nteractions.  This will require</w:t>
      </w:r>
      <w:r w:rsidR="00014E3B">
        <w:t xml:space="preserve"> processing information about each access session, information about the collections, and information about the user community to infer which set of knowledge</w:t>
      </w:r>
      <w:r w:rsidR="00B7150F">
        <w:t xml:space="preserve"> procedures</w:t>
      </w:r>
      <w:r w:rsidR="00014E3B">
        <w:t xml:space="preserve"> should be applied.</w:t>
      </w:r>
    </w:p>
    <w:p w14:paraId="31552F49" w14:textId="77777777" w:rsidR="00014E3B" w:rsidRDefault="00014E3B" w:rsidP="00F34E35"/>
    <w:p w14:paraId="2C03DB0A" w14:textId="5867737F" w:rsidR="00014E3B" w:rsidRPr="0042055E" w:rsidRDefault="00014E3B" w:rsidP="00F34E35">
      <w:pPr>
        <w:rPr>
          <w:b/>
        </w:rPr>
      </w:pPr>
      <w:r w:rsidRPr="0042055E">
        <w:rPr>
          <w:b/>
        </w:rPr>
        <w:t>Acknowledgements:</w:t>
      </w:r>
    </w:p>
    <w:p w14:paraId="5886369C" w14:textId="46C62878" w:rsidR="00CE1AA0" w:rsidRDefault="00CE1AA0" w:rsidP="00CE1AA0">
      <w:r>
        <w:t xml:space="preserve">The original members of the DICE group included  Reagan Moore, who led the group; Michael Wan, who was the chief architect and designed the communication and management protocols for the peer-to-peer server architecture; Arcot Rajasekar, who proposed and implemented key innovations related to virtualization, management of state information, and policy-based data management; Wayne Schroeder, who implemented the security environment, unix-style utilities, and the testing environment; Lucas Gilbert, who implemented a Java I/O library;  Sheau-Yen Chen, </w:t>
      </w:r>
      <w:r w:rsidR="000418B7">
        <w:t>who was the grid admin</w:t>
      </w:r>
      <w:r w:rsidR="00BE6E6E">
        <w:t>i</w:t>
      </w:r>
      <w:r w:rsidR="000418B7">
        <w:t>strator for the group through multiple evolution</w:t>
      </w:r>
      <w:r w:rsidR="00BE6E6E">
        <w:t>s</w:t>
      </w:r>
      <w:r w:rsidR="000418B7">
        <w:t xml:space="preserve"> of the grid; Bing Zhu, who ported</w:t>
      </w:r>
      <w:r w:rsidR="00BE6E6E">
        <w:t xml:space="preserve"> the system</w:t>
      </w:r>
      <w:r w:rsidR="000418B7">
        <w:t xml:space="preserve"> to Windows; and </w:t>
      </w:r>
      <w:r>
        <w:t xml:space="preserve">Chaitan Baru, Richard Marciano, Ilkay Altintas, Bertram Ludaescher, and Amarnath Gupta who applied the technology.  The DICE group maintained a core set of </w:t>
      </w:r>
      <w:r>
        <w:lastRenderedPageBreak/>
        <w:t>developers for twenty years, while adding expertise including Mike Conway, who developed advanced Java library interfaces; Hao Xu, who optimized and extended the iRODS distributed rule engine, and Antoine de Torcy, who developed iRODS micro-services for application domains.</w:t>
      </w:r>
    </w:p>
    <w:p w14:paraId="5C80E962" w14:textId="77777777" w:rsidR="00CE1AA0" w:rsidRDefault="00CE1AA0" w:rsidP="00F34E35"/>
    <w:p w14:paraId="2AF6C81B" w14:textId="4991F65E" w:rsidR="00014E3B" w:rsidRDefault="00014E3B" w:rsidP="00F34E35">
      <w:r>
        <w:t>The SRB and iRODS technologies were developed and applied across more than 30 funded projects, and multiple funding agencies.  These included:</w:t>
      </w:r>
    </w:p>
    <w:p w14:paraId="7C389BCB" w14:textId="77777777" w:rsidR="00014E3B" w:rsidRDefault="00014E3B" w:rsidP="00F34E35"/>
    <w:p w14:paraId="7FA55913" w14:textId="10F64C69" w:rsidR="00014E3B" w:rsidRPr="00A74BAA" w:rsidRDefault="004B6E4C" w:rsidP="004B6E4C">
      <w:pPr>
        <w:widowControl w:val="0"/>
        <w:tabs>
          <w:tab w:val="left" w:pos="720"/>
          <w:tab w:val="left" w:pos="5040"/>
          <w:tab w:val="left" w:pos="6660"/>
          <w:tab w:val="left" w:pos="7200"/>
          <w:tab w:val="left" w:pos="7560"/>
          <w:tab w:val="right" w:pos="8460"/>
        </w:tabs>
        <w:autoSpaceDE w:val="0"/>
        <w:autoSpaceDN w:val="0"/>
        <w:adjustRightInd w:val="0"/>
        <w:rPr>
          <w:sz w:val="20"/>
          <w:szCs w:val="20"/>
        </w:rPr>
      </w:pPr>
      <w:r>
        <w:rPr>
          <w:sz w:val="20"/>
          <w:szCs w:val="20"/>
        </w:rPr>
        <w:t>EarthCube Layered Architecture</w:t>
      </w:r>
      <w:r>
        <w:rPr>
          <w:sz w:val="20"/>
          <w:szCs w:val="20"/>
        </w:rPr>
        <w:tab/>
      </w:r>
      <w:r w:rsidR="00014E3B" w:rsidRPr="00A74BAA">
        <w:rPr>
          <w:sz w:val="20"/>
          <w:szCs w:val="20"/>
        </w:rPr>
        <w:t>NSF</w:t>
      </w:r>
      <w:r w:rsidR="00014E3B" w:rsidRPr="00A74BAA">
        <w:rPr>
          <w:sz w:val="20"/>
          <w:szCs w:val="20"/>
        </w:rPr>
        <w:tab/>
        <w:t>4/1/12-3/31/13</w:t>
      </w:r>
    </w:p>
    <w:p w14:paraId="7AAAC97C" w14:textId="0BE03CDD" w:rsidR="00014E3B" w:rsidRPr="00A74BAA" w:rsidRDefault="00014E3B" w:rsidP="004B6E4C">
      <w:pPr>
        <w:widowControl w:val="0"/>
        <w:tabs>
          <w:tab w:val="left" w:pos="720"/>
          <w:tab w:val="left" w:pos="5040"/>
          <w:tab w:val="left" w:pos="6660"/>
          <w:tab w:val="left" w:pos="7200"/>
          <w:tab w:val="left" w:pos="7560"/>
          <w:tab w:val="right" w:pos="8460"/>
        </w:tabs>
        <w:autoSpaceDE w:val="0"/>
        <w:autoSpaceDN w:val="0"/>
        <w:adjustRightInd w:val="0"/>
        <w:rPr>
          <w:sz w:val="20"/>
          <w:szCs w:val="20"/>
        </w:rPr>
      </w:pPr>
      <w:r w:rsidRPr="00A74BAA">
        <w:rPr>
          <w:sz w:val="20"/>
          <w:szCs w:val="20"/>
        </w:rPr>
        <w:t>DFC Supplement for Extensible</w:t>
      </w:r>
      <w:r>
        <w:rPr>
          <w:sz w:val="20"/>
          <w:szCs w:val="20"/>
        </w:rPr>
        <w:t xml:space="preserve"> Hardware</w:t>
      </w:r>
      <w:r w:rsidR="004B6E4C">
        <w:rPr>
          <w:sz w:val="20"/>
          <w:szCs w:val="20"/>
        </w:rPr>
        <w:tab/>
      </w:r>
      <w:r w:rsidRPr="00A74BAA">
        <w:rPr>
          <w:sz w:val="20"/>
          <w:szCs w:val="20"/>
        </w:rPr>
        <w:t>NSF</w:t>
      </w:r>
      <w:r w:rsidRPr="00A74BAA">
        <w:rPr>
          <w:sz w:val="20"/>
          <w:szCs w:val="20"/>
        </w:rPr>
        <w:tab/>
        <w:t>9/1/11-8/31/15</w:t>
      </w:r>
    </w:p>
    <w:p w14:paraId="00531BCC" w14:textId="06EA336C" w:rsidR="00014E3B" w:rsidRPr="00A74BAA" w:rsidRDefault="00014E3B" w:rsidP="004B6E4C">
      <w:pPr>
        <w:widowControl w:val="0"/>
        <w:tabs>
          <w:tab w:val="left" w:pos="720"/>
          <w:tab w:val="left" w:pos="5040"/>
          <w:tab w:val="left" w:pos="6660"/>
          <w:tab w:val="left" w:pos="7200"/>
          <w:tab w:val="left" w:pos="7560"/>
          <w:tab w:val="right" w:pos="8460"/>
        </w:tabs>
        <w:autoSpaceDE w:val="0"/>
        <w:autoSpaceDN w:val="0"/>
        <w:adjustRightInd w:val="0"/>
        <w:rPr>
          <w:sz w:val="20"/>
          <w:szCs w:val="20"/>
        </w:rPr>
      </w:pPr>
      <w:r w:rsidRPr="00A74BAA">
        <w:rPr>
          <w:sz w:val="20"/>
          <w:szCs w:val="20"/>
        </w:rPr>
        <w:t xml:space="preserve">DFC </w:t>
      </w:r>
      <w:r w:rsidR="004B6E4C">
        <w:rPr>
          <w:sz w:val="20"/>
          <w:szCs w:val="20"/>
        </w:rPr>
        <w:t>Supplement for Interoperability</w:t>
      </w:r>
      <w:r w:rsidR="004B6E4C">
        <w:rPr>
          <w:sz w:val="20"/>
          <w:szCs w:val="20"/>
        </w:rPr>
        <w:tab/>
      </w:r>
      <w:r w:rsidRPr="00A74BAA">
        <w:rPr>
          <w:sz w:val="20"/>
          <w:szCs w:val="20"/>
        </w:rPr>
        <w:t>NSF</w:t>
      </w:r>
      <w:r w:rsidRPr="00A74BAA">
        <w:rPr>
          <w:sz w:val="20"/>
          <w:szCs w:val="20"/>
        </w:rPr>
        <w:tab/>
        <w:t>9/1/11-8/31/15</w:t>
      </w:r>
    </w:p>
    <w:p w14:paraId="2493CF56" w14:textId="2E404ECF" w:rsidR="00014E3B" w:rsidRPr="00A74BAA" w:rsidRDefault="00014E3B" w:rsidP="004B6E4C">
      <w:pPr>
        <w:widowControl w:val="0"/>
        <w:tabs>
          <w:tab w:val="left" w:pos="720"/>
          <w:tab w:val="left" w:pos="5040"/>
          <w:tab w:val="left" w:pos="6660"/>
          <w:tab w:val="left" w:pos="7200"/>
          <w:tab w:val="left" w:pos="7560"/>
          <w:tab w:val="right" w:pos="8460"/>
        </w:tabs>
        <w:autoSpaceDE w:val="0"/>
        <w:autoSpaceDN w:val="0"/>
        <w:adjustRightInd w:val="0"/>
        <w:rPr>
          <w:sz w:val="20"/>
          <w:szCs w:val="20"/>
        </w:rPr>
      </w:pPr>
      <w:r w:rsidRPr="00A74BAA">
        <w:rPr>
          <w:sz w:val="20"/>
          <w:szCs w:val="20"/>
        </w:rPr>
        <w:t>D</w:t>
      </w:r>
      <w:r w:rsidR="004B6E4C">
        <w:rPr>
          <w:sz w:val="20"/>
          <w:szCs w:val="20"/>
        </w:rPr>
        <w:t>ataNet Federation Consortium</w:t>
      </w:r>
      <w:r w:rsidR="004B6E4C">
        <w:rPr>
          <w:sz w:val="20"/>
          <w:szCs w:val="20"/>
        </w:rPr>
        <w:tab/>
      </w:r>
      <w:r w:rsidRPr="00A74BAA">
        <w:rPr>
          <w:sz w:val="20"/>
          <w:szCs w:val="20"/>
        </w:rPr>
        <w:t>NSF</w:t>
      </w:r>
      <w:r w:rsidRPr="00A74BAA">
        <w:rPr>
          <w:sz w:val="20"/>
          <w:szCs w:val="20"/>
        </w:rPr>
        <w:tab/>
        <w:t>9/01/11-8/31/16</w:t>
      </w:r>
    </w:p>
    <w:p w14:paraId="4FFF3FBC" w14:textId="3AECA2EA" w:rsidR="00014E3B" w:rsidRPr="00A74BAA" w:rsidRDefault="004B6E4C" w:rsidP="004B6E4C">
      <w:pPr>
        <w:widowControl w:val="0"/>
        <w:tabs>
          <w:tab w:val="left" w:pos="720"/>
          <w:tab w:val="left" w:pos="5040"/>
          <w:tab w:val="left" w:pos="6660"/>
          <w:tab w:val="left" w:pos="7200"/>
          <w:tab w:val="left" w:pos="7560"/>
          <w:tab w:val="right" w:pos="8460"/>
        </w:tabs>
        <w:autoSpaceDE w:val="0"/>
        <w:autoSpaceDN w:val="0"/>
        <w:adjustRightInd w:val="0"/>
        <w:rPr>
          <w:rFonts w:eastAsia="Calibri"/>
          <w:sz w:val="20"/>
          <w:szCs w:val="20"/>
        </w:rPr>
      </w:pPr>
      <w:r>
        <w:rPr>
          <w:rFonts w:eastAsia="Calibri"/>
          <w:sz w:val="20"/>
          <w:szCs w:val="20"/>
        </w:rPr>
        <w:t xml:space="preserve">SDCI Data Improvement </w:t>
      </w:r>
      <w:r>
        <w:rPr>
          <w:rFonts w:eastAsia="Calibri"/>
          <w:sz w:val="20"/>
          <w:szCs w:val="20"/>
        </w:rPr>
        <w:tab/>
      </w:r>
      <w:r w:rsidR="00014E3B" w:rsidRPr="00A74BAA">
        <w:rPr>
          <w:rFonts w:eastAsia="Calibri"/>
          <w:sz w:val="20"/>
          <w:szCs w:val="20"/>
        </w:rPr>
        <w:t xml:space="preserve">NSF </w:t>
      </w:r>
      <w:r w:rsidR="00014E3B" w:rsidRPr="00A74BAA">
        <w:rPr>
          <w:rFonts w:eastAsia="Calibri"/>
          <w:sz w:val="20"/>
          <w:szCs w:val="20"/>
        </w:rPr>
        <w:tab/>
        <w:t>10/1/10 – 9/30/13</w:t>
      </w:r>
    </w:p>
    <w:p w14:paraId="2E70E077" w14:textId="6BF59876" w:rsidR="004B6E4C" w:rsidRDefault="004B6E4C" w:rsidP="004B6E4C">
      <w:pPr>
        <w:tabs>
          <w:tab w:val="left" w:pos="5040"/>
          <w:tab w:val="left" w:pos="6660"/>
          <w:tab w:val="left" w:pos="7560"/>
        </w:tabs>
        <w:rPr>
          <w:sz w:val="20"/>
          <w:szCs w:val="20"/>
        </w:rPr>
      </w:pPr>
      <w:r>
        <w:rPr>
          <w:sz w:val="20"/>
          <w:szCs w:val="20"/>
        </w:rPr>
        <w:t>National Climatic Data Center</w:t>
      </w:r>
      <w:r>
        <w:rPr>
          <w:sz w:val="20"/>
          <w:szCs w:val="20"/>
        </w:rPr>
        <w:tab/>
      </w:r>
      <w:r w:rsidR="00014E3B" w:rsidRPr="00A74BAA">
        <w:rPr>
          <w:sz w:val="20"/>
          <w:szCs w:val="20"/>
        </w:rPr>
        <w:t>NOAA</w:t>
      </w:r>
      <w:r w:rsidR="00014E3B" w:rsidRPr="00A74BAA">
        <w:rPr>
          <w:sz w:val="20"/>
          <w:szCs w:val="20"/>
        </w:rPr>
        <w:tab/>
        <w:t>10/1/09 – 9/1/10</w:t>
      </w:r>
    </w:p>
    <w:p w14:paraId="08813066" w14:textId="2B5E1EBA" w:rsidR="004B6E4C" w:rsidRPr="00A74BAA" w:rsidRDefault="00014E3B" w:rsidP="004B6E4C">
      <w:pPr>
        <w:tabs>
          <w:tab w:val="left" w:pos="5040"/>
          <w:tab w:val="left" w:pos="6660"/>
          <w:tab w:val="left" w:pos="7560"/>
        </w:tabs>
        <w:rPr>
          <w:sz w:val="20"/>
          <w:szCs w:val="20"/>
        </w:rPr>
      </w:pPr>
      <w:r w:rsidRPr="00A74BAA">
        <w:rPr>
          <w:sz w:val="20"/>
          <w:szCs w:val="20"/>
        </w:rPr>
        <w:t>Subcontract: Temporal Dynamics</w:t>
      </w:r>
      <w:r w:rsidR="004B6E4C">
        <w:rPr>
          <w:sz w:val="20"/>
          <w:szCs w:val="20"/>
        </w:rPr>
        <w:t xml:space="preserve"> of Learning Center</w:t>
      </w:r>
      <w:r w:rsidR="004B6E4C">
        <w:rPr>
          <w:sz w:val="20"/>
          <w:szCs w:val="20"/>
        </w:rPr>
        <w:tab/>
      </w:r>
      <w:r w:rsidRPr="00A74BAA">
        <w:rPr>
          <w:sz w:val="20"/>
          <w:szCs w:val="20"/>
        </w:rPr>
        <w:t>NSF</w:t>
      </w:r>
      <w:r w:rsidRPr="00A74BAA">
        <w:rPr>
          <w:sz w:val="20"/>
          <w:szCs w:val="20"/>
        </w:rPr>
        <w:tab/>
        <w:t>1/1/10 – 12/31/10</w:t>
      </w:r>
    </w:p>
    <w:p w14:paraId="7A10E962" w14:textId="18086CCA" w:rsidR="00014E3B" w:rsidRPr="00A74BAA" w:rsidRDefault="00014E3B" w:rsidP="004B6E4C">
      <w:pPr>
        <w:tabs>
          <w:tab w:val="left" w:pos="5040"/>
          <w:tab w:val="left" w:pos="6660"/>
          <w:tab w:val="left" w:pos="7560"/>
        </w:tabs>
        <w:rPr>
          <w:sz w:val="20"/>
          <w:szCs w:val="20"/>
        </w:rPr>
      </w:pPr>
      <w:r w:rsidRPr="00A74BAA">
        <w:rPr>
          <w:sz w:val="20"/>
          <w:szCs w:val="20"/>
        </w:rPr>
        <w:t>NARA Transcontinenta</w:t>
      </w:r>
      <w:r>
        <w:rPr>
          <w:sz w:val="20"/>
          <w:szCs w:val="20"/>
        </w:rPr>
        <w:t>l Persi</w:t>
      </w:r>
      <w:r w:rsidR="004B6E4C">
        <w:rPr>
          <w:sz w:val="20"/>
          <w:szCs w:val="20"/>
        </w:rPr>
        <w:t>stent Archive Prototype</w:t>
      </w:r>
      <w:r w:rsidR="004B6E4C">
        <w:rPr>
          <w:sz w:val="20"/>
          <w:szCs w:val="20"/>
        </w:rPr>
        <w:tab/>
      </w:r>
      <w:r>
        <w:rPr>
          <w:sz w:val="20"/>
          <w:szCs w:val="20"/>
        </w:rPr>
        <w:t>NSF</w:t>
      </w:r>
      <w:r>
        <w:rPr>
          <w:sz w:val="20"/>
          <w:szCs w:val="20"/>
        </w:rPr>
        <w:tab/>
        <w:t>9/15/9-9/30/10</w:t>
      </w:r>
      <w:r w:rsidRPr="00A74BAA">
        <w:rPr>
          <w:sz w:val="20"/>
          <w:szCs w:val="20"/>
        </w:rPr>
        <w:tab/>
      </w:r>
    </w:p>
    <w:p w14:paraId="3C016341" w14:textId="42D6EAEF" w:rsidR="00014E3B" w:rsidRPr="00A74BAA" w:rsidRDefault="00014E3B" w:rsidP="004B6E4C">
      <w:pPr>
        <w:tabs>
          <w:tab w:val="left" w:pos="5040"/>
          <w:tab w:val="left" w:pos="6660"/>
          <w:tab w:val="left" w:pos="7560"/>
        </w:tabs>
        <w:rPr>
          <w:sz w:val="20"/>
          <w:szCs w:val="20"/>
        </w:rPr>
      </w:pPr>
      <w:r w:rsidRPr="00A74BAA">
        <w:rPr>
          <w:sz w:val="20"/>
          <w:szCs w:val="20"/>
        </w:rPr>
        <w:t>Subcontract: Temporal Dynamics</w:t>
      </w:r>
      <w:r w:rsidR="004B6E4C">
        <w:rPr>
          <w:sz w:val="20"/>
          <w:szCs w:val="20"/>
        </w:rPr>
        <w:t xml:space="preserve"> of Learning Center</w:t>
      </w:r>
      <w:r w:rsidR="004B6E4C">
        <w:rPr>
          <w:sz w:val="20"/>
          <w:szCs w:val="20"/>
        </w:rPr>
        <w:tab/>
        <w:t>NSF</w:t>
      </w:r>
      <w:r w:rsidR="004B6E4C">
        <w:rPr>
          <w:sz w:val="20"/>
          <w:szCs w:val="20"/>
        </w:rPr>
        <w:tab/>
        <w:t>3/1/9-12/31/9</w:t>
      </w:r>
      <w:r w:rsidR="004B6E4C">
        <w:rPr>
          <w:sz w:val="20"/>
          <w:szCs w:val="20"/>
        </w:rPr>
        <w:tab/>
      </w:r>
    </w:p>
    <w:p w14:paraId="4BA3188E" w14:textId="467F4819" w:rsidR="00014E3B" w:rsidRPr="00A74BAA" w:rsidRDefault="00014E3B" w:rsidP="004B6E4C">
      <w:pPr>
        <w:tabs>
          <w:tab w:val="left" w:pos="5040"/>
          <w:tab w:val="left" w:pos="6660"/>
          <w:tab w:val="left" w:pos="7560"/>
        </w:tabs>
        <w:rPr>
          <w:sz w:val="20"/>
          <w:szCs w:val="20"/>
        </w:rPr>
      </w:pPr>
      <w:r w:rsidRPr="00A74BAA">
        <w:rPr>
          <w:sz w:val="20"/>
          <w:szCs w:val="20"/>
        </w:rPr>
        <w:t>Transcontinental Persistent</w:t>
      </w:r>
      <w:r w:rsidR="004B6E4C">
        <w:rPr>
          <w:sz w:val="20"/>
          <w:szCs w:val="20"/>
        </w:rPr>
        <w:t xml:space="preserve"> Archive Prototype</w:t>
      </w:r>
      <w:r w:rsidR="004B6E4C">
        <w:rPr>
          <w:sz w:val="20"/>
          <w:szCs w:val="20"/>
        </w:rPr>
        <w:tab/>
      </w:r>
      <w:r>
        <w:rPr>
          <w:sz w:val="20"/>
          <w:szCs w:val="20"/>
        </w:rPr>
        <w:t xml:space="preserve">NSF </w:t>
      </w:r>
      <w:r>
        <w:rPr>
          <w:sz w:val="20"/>
          <w:szCs w:val="20"/>
        </w:rPr>
        <w:tab/>
        <w:t>9/15/8-8/31/13</w:t>
      </w:r>
      <w:r w:rsidRPr="00A74BAA">
        <w:rPr>
          <w:sz w:val="20"/>
          <w:szCs w:val="20"/>
        </w:rPr>
        <w:tab/>
      </w:r>
    </w:p>
    <w:p w14:paraId="4AF1E26A" w14:textId="4FFDD7BA" w:rsidR="00014E3B" w:rsidRPr="00A74BAA" w:rsidRDefault="00014E3B" w:rsidP="004B6E4C">
      <w:pPr>
        <w:tabs>
          <w:tab w:val="left" w:pos="5040"/>
          <w:tab w:val="left" w:pos="6660"/>
          <w:tab w:val="left" w:pos="7560"/>
        </w:tabs>
        <w:rPr>
          <w:sz w:val="20"/>
          <w:szCs w:val="20"/>
        </w:rPr>
      </w:pPr>
      <w:r w:rsidRPr="00A74BAA">
        <w:rPr>
          <w:sz w:val="20"/>
          <w:szCs w:val="20"/>
        </w:rPr>
        <w:t>Petascale Cyberfacility for Seismic</w:t>
      </w:r>
      <w:r w:rsidR="004B6E4C">
        <w:rPr>
          <w:sz w:val="20"/>
          <w:szCs w:val="20"/>
        </w:rPr>
        <w:t xml:space="preserve"> Community</w:t>
      </w:r>
      <w:r w:rsidR="004B6E4C">
        <w:rPr>
          <w:sz w:val="20"/>
          <w:szCs w:val="20"/>
        </w:rPr>
        <w:tab/>
        <w:t>NSF</w:t>
      </w:r>
      <w:r w:rsidR="004B6E4C">
        <w:rPr>
          <w:sz w:val="20"/>
          <w:szCs w:val="20"/>
        </w:rPr>
        <w:tab/>
        <w:t>4/1/8-3/30/10</w:t>
      </w:r>
      <w:r w:rsidR="004B6E4C">
        <w:rPr>
          <w:sz w:val="20"/>
          <w:szCs w:val="20"/>
        </w:rPr>
        <w:tab/>
      </w:r>
    </w:p>
    <w:p w14:paraId="45925F56" w14:textId="5CFBEF45" w:rsidR="00014E3B" w:rsidRPr="00A74BAA" w:rsidRDefault="00014E3B" w:rsidP="004B6E4C">
      <w:pPr>
        <w:tabs>
          <w:tab w:val="left" w:pos="5040"/>
          <w:tab w:val="left" w:pos="6660"/>
          <w:tab w:val="left" w:pos="7560"/>
        </w:tabs>
        <w:rPr>
          <w:sz w:val="20"/>
          <w:szCs w:val="20"/>
        </w:rPr>
      </w:pPr>
      <w:r w:rsidRPr="00A74BAA">
        <w:rPr>
          <w:sz w:val="20"/>
          <w:szCs w:val="20"/>
        </w:rPr>
        <w:t xml:space="preserve">Data Grids for Community Driven </w:t>
      </w:r>
      <w:r w:rsidR="004B6E4C">
        <w:rPr>
          <w:sz w:val="20"/>
          <w:szCs w:val="20"/>
        </w:rPr>
        <w:t>Applications</w:t>
      </w:r>
      <w:r w:rsidR="004B6E4C">
        <w:rPr>
          <w:sz w:val="20"/>
          <w:szCs w:val="20"/>
        </w:rPr>
        <w:tab/>
      </w:r>
      <w:r w:rsidRPr="00A74BAA">
        <w:rPr>
          <w:sz w:val="20"/>
          <w:szCs w:val="20"/>
        </w:rPr>
        <w:t>NSF</w:t>
      </w:r>
      <w:r w:rsidRPr="00A74BAA">
        <w:rPr>
          <w:sz w:val="20"/>
          <w:szCs w:val="20"/>
        </w:rPr>
        <w:tab/>
        <w:t>10/1/7</w:t>
      </w:r>
      <w:r w:rsidRPr="00A74BAA">
        <w:rPr>
          <w:sz w:val="20"/>
          <w:szCs w:val="20"/>
        </w:rPr>
        <w:tab/>
        <w:t>9/30/10</w:t>
      </w:r>
      <w:r w:rsidRPr="00A74BAA">
        <w:rPr>
          <w:sz w:val="20"/>
          <w:szCs w:val="20"/>
        </w:rPr>
        <w:tab/>
      </w:r>
    </w:p>
    <w:p w14:paraId="1B603B10" w14:textId="7BF4240D" w:rsidR="004B6E4C" w:rsidRPr="00A74BAA" w:rsidRDefault="00014E3B" w:rsidP="004B6E4C">
      <w:pPr>
        <w:tabs>
          <w:tab w:val="left" w:pos="5040"/>
          <w:tab w:val="left" w:pos="6660"/>
          <w:tab w:val="left" w:pos="7560"/>
        </w:tabs>
        <w:rPr>
          <w:sz w:val="20"/>
          <w:szCs w:val="20"/>
        </w:rPr>
      </w:pPr>
      <w:r w:rsidRPr="00A74BAA">
        <w:rPr>
          <w:sz w:val="20"/>
          <w:szCs w:val="20"/>
        </w:rPr>
        <w:t xml:space="preserve">Joint Virtual Network Centric Warfare </w:t>
      </w:r>
      <w:r w:rsidR="004B6E4C">
        <w:rPr>
          <w:sz w:val="20"/>
          <w:szCs w:val="20"/>
        </w:rPr>
        <w:tab/>
      </w:r>
      <w:r w:rsidRPr="00A74BAA">
        <w:rPr>
          <w:sz w:val="20"/>
          <w:szCs w:val="20"/>
        </w:rPr>
        <w:t>DOD</w:t>
      </w:r>
      <w:r>
        <w:rPr>
          <w:sz w:val="20"/>
          <w:szCs w:val="20"/>
        </w:rPr>
        <w:tab/>
        <w:t>11/1/6-10/30/7</w:t>
      </w:r>
      <w:r>
        <w:rPr>
          <w:sz w:val="20"/>
          <w:szCs w:val="20"/>
        </w:rPr>
        <w:tab/>
      </w:r>
    </w:p>
    <w:p w14:paraId="55C69FF7" w14:textId="368CCB1B" w:rsidR="004B6E4C" w:rsidRPr="00A74BAA" w:rsidRDefault="00014E3B" w:rsidP="004B6E4C">
      <w:pPr>
        <w:tabs>
          <w:tab w:val="left" w:pos="5040"/>
          <w:tab w:val="left" w:pos="6660"/>
          <w:tab w:val="left" w:pos="7560"/>
        </w:tabs>
        <w:rPr>
          <w:sz w:val="20"/>
          <w:szCs w:val="20"/>
        </w:rPr>
      </w:pPr>
      <w:r w:rsidRPr="00A74BAA">
        <w:rPr>
          <w:sz w:val="20"/>
          <w:szCs w:val="20"/>
        </w:rPr>
        <w:t>Peta</w:t>
      </w:r>
      <w:r w:rsidR="004B6E4C">
        <w:rPr>
          <w:sz w:val="20"/>
          <w:szCs w:val="20"/>
        </w:rPr>
        <w:t>scale Cyberfacility for Seismic</w:t>
      </w:r>
      <w:r w:rsidR="004B6E4C">
        <w:rPr>
          <w:sz w:val="20"/>
          <w:szCs w:val="20"/>
        </w:rPr>
        <w:tab/>
        <w:t>NSF</w:t>
      </w:r>
      <w:r w:rsidR="004B6E4C">
        <w:rPr>
          <w:sz w:val="20"/>
          <w:szCs w:val="20"/>
        </w:rPr>
        <w:tab/>
        <w:t>10/1/6-9/30/9</w:t>
      </w:r>
      <w:r w:rsidR="004B6E4C">
        <w:rPr>
          <w:sz w:val="20"/>
          <w:szCs w:val="20"/>
        </w:rPr>
        <w:tab/>
      </w:r>
    </w:p>
    <w:p w14:paraId="3FF3A7B0" w14:textId="2A4F8E9A" w:rsidR="00014E3B" w:rsidRPr="00A74BAA" w:rsidRDefault="00014E3B" w:rsidP="004B6E4C">
      <w:pPr>
        <w:tabs>
          <w:tab w:val="left" w:pos="5040"/>
          <w:tab w:val="left" w:pos="6660"/>
          <w:tab w:val="left" w:pos="7560"/>
        </w:tabs>
        <w:rPr>
          <w:sz w:val="20"/>
          <w:szCs w:val="20"/>
        </w:rPr>
      </w:pPr>
      <w:r w:rsidRPr="00A74BAA">
        <w:rPr>
          <w:sz w:val="20"/>
          <w:szCs w:val="20"/>
        </w:rPr>
        <w:t>LLNL Scientific Data Management</w:t>
      </w:r>
      <w:r w:rsidR="004B6E4C">
        <w:rPr>
          <w:sz w:val="20"/>
          <w:szCs w:val="20"/>
        </w:rPr>
        <w:tab/>
      </w:r>
      <w:r>
        <w:rPr>
          <w:sz w:val="20"/>
          <w:szCs w:val="20"/>
        </w:rPr>
        <w:t>LLNL</w:t>
      </w:r>
      <w:r>
        <w:rPr>
          <w:sz w:val="20"/>
          <w:szCs w:val="20"/>
        </w:rPr>
        <w:tab/>
        <w:t>3/1/5 – 12/31/08</w:t>
      </w:r>
      <w:r>
        <w:rPr>
          <w:sz w:val="20"/>
          <w:szCs w:val="20"/>
        </w:rPr>
        <w:tab/>
      </w:r>
    </w:p>
    <w:p w14:paraId="0174E66E" w14:textId="0FBA5AC7" w:rsidR="004B6E4C" w:rsidRPr="00A74BAA" w:rsidRDefault="00014E3B" w:rsidP="004B6E4C">
      <w:pPr>
        <w:tabs>
          <w:tab w:val="left" w:pos="5040"/>
          <w:tab w:val="left" w:pos="6660"/>
          <w:tab w:val="left" w:pos="7560"/>
        </w:tabs>
        <w:rPr>
          <w:sz w:val="20"/>
          <w:szCs w:val="20"/>
        </w:rPr>
      </w:pPr>
      <w:r w:rsidRPr="00A74BAA">
        <w:rPr>
          <w:sz w:val="20"/>
          <w:szCs w:val="20"/>
        </w:rPr>
        <w:t>NARA Persiste</w:t>
      </w:r>
      <w:r w:rsidR="004B6E4C">
        <w:rPr>
          <w:sz w:val="20"/>
          <w:szCs w:val="20"/>
        </w:rPr>
        <w:t>nt Archives</w:t>
      </w:r>
      <w:r w:rsidR="004B6E4C">
        <w:rPr>
          <w:sz w:val="20"/>
          <w:szCs w:val="20"/>
        </w:rPr>
        <w:tab/>
      </w:r>
      <w:r>
        <w:rPr>
          <w:sz w:val="20"/>
          <w:szCs w:val="20"/>
        </w:rPr>
        <w:t>NSF</w:t>
      </w:r>
      <w:r>
        <w:rPr>
          <w:sz w:val="20"/>
          <w:szCs w:val="20"/>
        </w:rPr>
        <w:tab/>
        <w:t>10/1/4-6/30/08</w:t>
      </w:r>
      <w:r w:rsidRPr="00A74BAA">
        <w:rPr>
          <w:sz w:val="20"/>
          <w:szCs w:val="20"/>
        </w:rPr>
        <w:tab/>
      </w:r>
    </w:p>
    <w:p w14:paraId="7CB8B51E" w14:textId="706FC9A2" w:rsidR="00014E3B" w:rsidRPr="00A74BAA" w:rsidRDefault="004B6E4C" w:rsidP="004B6E4C">
      <w:pPr>
        <w:tabs>
          <w:tab w:val="left" w:pos="5040"/>
          <w:tab w:val="left" w:pos="6660"/>
          <w:tab w:val="left" w:pos="7560"/>
        </w:tabs>
        <w:rPr>
          <w:sz w:val="20"/>
          <w:szCs w:val="20"/>
        </w:rPr>
      </w:pPr>
      <w:r>
        <w:rPr>
          <w:sz w:val="20"/>
          <w:szCs w:val="20"/>
        </w:rPr>
        <w:t>Constraint-based Knowledge</w:t>
      </w:r>
      <w:r>
        <w:rPr>
          <w:sz w:val="20"/>
          <w:szCs w:val="20"/>
        </w:rPr>
        <w:tab/>
        <w:t>NSF</w:t>
      </w:r>
      <w:r>
        <w:rPr>
          <w:sz w:val="20"/>
          <w:szCs w:val="20"/>
        </w:rPr>
        <w:tab/>
        <w:t>10/1/4-9/30/6</w:t>
      </w:r>
      <w:r>
        <w:rPr>
          <w:sz w:val="20"/>
          <w:szCs w:val="20"/>
        </w:rPr>
        <w:tab/>
      </w:r>
    </w:p>
    <w:p w14:paraId="550931B7" w14:textId="7A24668B" w:rsidR="004B6E4C" w:rsidRPr="00A74BAA" w:rsidRDefault="00014E3B" w:rsidP="004B6E4C">
      <w:pPr>
        <w:tabs>
          <w:tab w:val="left" w:pos="5040"/>
          <w:tab w:val="left" w:pos="6660"/>
          <w:tab w:val="left" w:pos="7560"/>
        </w:tabs>
        <w:rPr>
          <w:sz w:val="20"/>
          <w:szCs w:val="20"/>
        </w:rPr>
      </w:pPr>
      <w:r w:rsidRPr="00A74BAA">
        <w:rPr>
          <w:sz w:val="20"/>
          <w:szCs w:val="20"/>
        </w:rPr>
        <w:t>ND</w:t>
      </w:r>
      <w:r w:rsidR="004B6E4C">
        <w:rPr>
          <w:sz w:val="20"/>
          <w:szCs w:val="20"/>
        </w:rPr>
        <w:t>IIPP California Digital Library</w:t>
      </w:r>
      <w:r w:rsidR="004B6E4C">
        <w:rPr>
          <w:sz w:val="20"/>
          <w:szCs w:val="20"/>
        </w:rPr>
        <w:tab/>
      </w:r>
      <w:r>
        <w:rPr>
          <w:sz w:val="20"/>
          <w:szCs w:val="20"/>
        </w:rPr>
        <w:t>LC</w:t>
      </w:r>
      <w:r>
        <w:rPr>
          <w:sz w:val="20"/>
          <w:szCs w:val="20"/>
        </w:rPr>
        <w:tab/>
        <w:t>2/1/4-1/31/7</w:t>
      </w:r>
      <w:r>
        <w:rPr>
          <w:sz w:val="20"/>
          <w:szCs w:val="20"/>
        </w:rPr>
        <w:tab/>
      </w:r>
      <w:r>
        <w:rPr>
          <w:sz w:val="20"/>
          <w:szCs w:val="20"/>
        </w:rPr>
        <w:tab/>
      </w:r>
    </w:p>
    <w:p w14:paraId="5CC51B8F" w14:textId="384C90A4" w:rsidR="004B6E4C" w:rsidRPr="00A74BAA" w:rsidRDefault="004B6E4C" w:rsidP="004B6E4C">
      <w:pPr>
        <w:tabs>
          <w:tab w:val="left" w:pos="5040"/>
          <w:tab w:val="left" w:pos="6660"/>
          <w:tab w:val="left" w:pos="7560"/>
        </w:tabs>
        <w:rPr>
          <w:sz w:val="20"/>
          <w:szCs w:val="20"/>
        </w:rPr>
      </w:pPr>
      <w:r>
        <w:rPr>
          <w:sz w:val="20"/>
          <w:szCs w:val="20"/>
        </w:rPr>
        <w:t>NASA Information Power Grid</w:t>
      </w:r>
      <w:r>
        <w:rPr>
          <w:sz w:val="20"/>
          <w:szCs w:val="20"/>
        </w:rPr>
        <w:tab/>
        <w:t>NASA</w:t>
      </w:r>
      <w:r>
        <w:rPr>
          <w:sz w:val="20"/>
          <w:szCs w:val="20"/>
        </w:rPr>
        <w:tab/>
        <w:t>10/1/3-9/30/4</w:t>
      </w:r>
      <w:r>
        <w:rPr>
          <w:sz w:val="20"/>
          <w:szCs w:val="20"/>
        </w:rPr>
        <w:tab/>
      </w:r>
    </w:p>
    <w:p w14:paraId="10BF343D" w14:textId="26887EAE" w:rsidR="004B6E4C" w:rsidRPr="00A74BAA" w:rsidRDefault="004B6E4C" w:rsidP="004B6E4C">
      <w:pPr>
        <w:tabs>
          <w:tab w:val="left" w:pos="5040"/>
          <w:tab w:val="left" w:pos="6660"/>
          <w:tab w:val="left" w:pos="7560"/>
        </w:tabs>
        <w:rPr>
          <w:sz w:val="20"/>
          <w:szCs w:val="20"/>
        </w:rPr>
      </w:pPr>
      <w:r>
        <w:rPr>
          <w:sz w:val="20"/>
          <w:szCs w:val="20"/>
        </w:rPr>
        <w:t>NARA Persistent Archive</w:t>
      </w:r>
      <w:r>
        <w:rPr>
          <w:sz w:val="20"/>
          <w:szCs w:val="20"/>
        </w:rPr>
        <w:tab/>
      </w:r>
      <w:r w:rsidR="00014E3B">
        <w:rPr>
          <w:sz w:val="20"/>
          <w:szCs w:val="20"/>
        </w:rPr>
        <w:t>NSF</w:t>
      </w:r>
      <w:r w:rsidR="00014E3B">
        <w:rPr>
          <w:sz w:val="20"/>
          <w:szCs w:val="20"/>
        </w:rPr>
        <w:tab/>
        <w:t>6/1/2-5/31/5</w:t>
      </w:r>
      <w:r w:rsidR="00014E3B">
        <w:rPr>
          <w:sz w:val="20"/>
          <w:szCs w:val="20"/>
        </w:rPr>
        <w:tab/>
      </w:r>
      <w:r w:rsidR="00014E3B">
        <w:rPr>
          <w:sz w:val="20"/>
          <w:szCs w:val="20"/>
        </w:rPr>
        <w:tab/>
      </w:r>
    </w:p>
    <w:p w14:paraId="1243C23C" w14:textId="7FE2939E" w:rsidR="004B6E4C" w:rsidRPr="00A74BAA" w:rsidRDefault="00014E3B" w:rsidP="004B6E4C">
      <w:pPr>
        <w:tabs>
          <w:tab w:val="left" w:pos="5040"/>
          <w:tab w:val="left" w:pos="6660"/>
          <w:tab w:val="left" w:pos="7560"/>
        </w:tabs>
        <w:rPr>
          <w:sz w:val="20"/>
          <w:szCs w:val="20"/>
        </w:rPr>
      </w:pPr>
      <w:r w:rsidRPr="00A74BAA">
        <w:rPr>
          <w:sz w:val="20"/>
          <w:szCs w:val="20"/>
        </w:rPr>
        <w:t>N</w:t>
      </w:r>
      <w:r w:rsidR="004B6E4C">
        <w:rPr>
          <w:sz w:val="20"/>
          <w:szCs w:val="20"/>
        </w:rPr>
        <w:t>ational Science Digital Library</w:t>
      </w:r>
      <w:r w:rsidR="004B6E4C">
        <w:rPr>
          <w:sz w:val="20"/>
          <w:szCs w:val="20"/>
        </w:rPr>
        <w:tab/>
      </w:r>
      <w:r w:rsidRPr="00A74BAA">
        <w:rPr>
          <w:sz w:val="20"/>
          <w:szCs w:val="20"/>
        </w:rPr>
        <w:t>NSF</w:t>
      </w:r>
      <w:r w:rsidRPr="00A74BAA">
        <w:rPr>
          <w:sz w:val="20"/>
          <w:szCs w:val="20"/>
        </w:rPr>
        <w:tab/>
      </w:r>
      <w:r>
        <w:rPr>
          <w:sz w:val="20"/>
          <w:szCs w:val="20"/>
        </w:rPr>
        <w:t>10/1/2-9/30/6</w:t>
      </w:r>
      <w:r>
        <w:rPr>
          <w:sz w:val="20"/>
          <w:szCs w:val="20"/>
        </w:rPr>
        <w:tab/>
      </w:r>
    </w:p>
    <w:p w14:paraId="4C7F2281" w14:textId="0859C4A8" w:rsidR="004B6E4C" w:rsidRPr="00A74BAA" w:rsidRDefault="004B6E4C" w:rsidP="004B6E4C">
      <w:pPr>
        <w:tabs>
          <w:tab w:val="left" w:pos="5040"/>
          <w:tab w:val="left" w:pos="6660"/>
          <w:tab w:val="left" w:pos="7560"/>
        </w:tabs>
        <w:rPr>
          <w:sz w:val="20"/>
          <w:szCs w:val="20"/>
        </w:rPr>
      </w:pPr>
      <w:r>
        <w:rPr>
          <w:sz w:val="20"/>
          <w:szCs w:val="20"/>
        </w:rPr>
        <w:t>Particle Physics Data Grid</w:t>
      </w:r>
      <w:r>
        <w:rPr>
          <w:sz w:val="20"/>
          <w:szCs w:val="20"/>
        </w:rPr>
        <w:tab/>
        <w:t>DOE</w:t>
      </w:r>
      <w:r>
        <w:rPr>
          <w:sz w:val="20"/>
          <w:szCs w:val="20"/>
        </w:rPr>
        <w:tab/>
        <w:t>8/15/1-8/14/4</w:t>
      </w:r>
      <w:r>
        <w:rPr>
          <w:sz w:val="20"/>
          <w:szCs w:val="20"/>
        </w:rPr>
        <w:tab/>
      </w:r>
    </w:p>
    <w:p w14:paraId="445B9D3C" w14:textId="3F1153C1" w:rsidR="004B6E4C" w:rsidRPr="00A74BAA" w:rsidRDefault="00014E3B" w:rsidP="004B6E4C">
      <w:pPr>
        <w:tabs>
          <w:tab w:val="left" w:pos="5040"/>
          <w:tab w:val="left" w:pos="6660"/>
          <w:tab w:val="left" w:pos="7560"/>
        </w:tabs>
        <w:rPr>
          <w:sz w:val="20"/>
          <w:szCs w:val="20"/>
        </w:rPr>
      </w:pPr>
      <w:r w:rsidRPr="00A74BAA">
        <w:rPr>
          <w:sz w:val="20"/>
          <w:szCs w:val="20"/>
        </w:rPr>
        <w:t>SCE</w:t>
      </w:r>
      <w:r w:rsidR="004B6E4C">
        <w:rPr>
          <w:sz w:val="20"/>
          <w:szCs w:val="20"/>
        </w:rPr>
        <w:t>C Community Modeling</w:t>
      </w:r>
      <w:r w:rsidR="004B6E4C">
        <w:rPr>
          <w:sz w:val="20"/>
          <w:szCs w:val="20"/>
        </w:rPr>
        <w:tab/>
        <w:t>NSF</w:t>
      </w:r>
      <w:r w:rsidR="004B6E4C">
        <w:rPr>
          <w:sz w:val="20"/>
          <w:szCs w:val="20"/>
        </w:rPr>
        <w:tab/>
        <w:t>10/1/1-9/30/6</w:t>
      </w:r>
      <w:r w:rsidR="004B6E4C">
        <w:rPr>
          <w:sz w:val="20"/>
          <w:szCs w:val="20"/>
        </w:rPr>
        <w:tab/>
      </w:r>
    </w:p>
    <w:p w14:paraId="09ABCFA1" w14:textId="669CA4CE" w:rsidR="00014E3B" w:rsidRPr="00A74BAA" w:rsidRDefault="004B6E4C" w:rsidP="004B6E4C">
      <w:pPr>
        <w:tabs>
          <w:tab w:val="left" w:pos="5040"/>
          <w:tab w:val="left" w:pos="6660"/>
          <w:tab w:val="left" w:pos="7560"/>
        </w:tabs>
        <w:rPr>
          <w:sz w:val="20"/>
          <w:szCs w:val="20"/>
        </w:rPr>
      </w:pPr>
      <w:r>
        <w:rPr>
          <w:sz w:val="20"/>
          <w:szCs w:val="20"/>
        </w:rPr>
        <w:t>Terascale Visualization</w:t>
      </w:r>
      <w:r>
        <w:rPr>
          <w:sz w:val="20"/>
          <w:szCs w:val="20"/>
        </w:rPr>
        <w:tab/>
      </w:r>
      <w:r w:rsidR="00014E3B" w:rsidRPr="00A74BAA">
        <w:rPr>
          <w:sz w:val="20"/>
          <w:szCs w:val="20"/>
        </w:rPr>
        <w:t>DOE</w:t>
      </w:r>
      <w:r w:rsidR="00014E3B" w:rsidRPr="00A74BAA">
        <w:rPr>
          <w:sz w:val="20"/>
          <w:szCs w:val="20"/>
        </w:rPr>
        <w:tab/>
        <w:t>9/1/98-8/31/02</w:t>
      </w:r>
    </w:p>
    <w:p w14:paraId="1F491C3F" w14:textId="793DCFF3" w:rsidR="004B6E4C" w:rsidRPr="00A74BAA" w:rsidRDefault="00014E3B" w:rsidP="004B6E4C">
      <w:pPr>
        <w:tabs>
          <w:tab w:val="left" w:pos="5040"/>
          <w:tab w:val="left" w:pos="6660"/>
          <w:tab w:val="left" w:pos="7560"/>
        </w:tabs>
        <w:rPr>
          <w:sz w:val="20"/>
          <w:szCs w:val="20"/>
        </w:rPr>
      </w:pPr>
      <w:r w:rsidRPr="00A74BAA">
        <w:rPr>
          <w:sz w:val="20"/>
          <w:szCs w:val="20"/>
        </w:rPr>
        <w:t>Grid Physi</w:t>
      </w:r>
      <w:r w:rsidR="004B6E4C">
        <w:rPr>
          <w:sz w:val="20"/>
          <w:szCs w:val="20"/>
        </w:rPr>
        <w:t>cs Network</w:t>
      </w:r>
      <w:r w:rsidR="004B6E4C">
        <w:rPr>
          <w:sz w:val="20"/>
          <w:szCs w:val="20"/>
        </w:rPr>
        <w:tab/>
      </w:r>
      <w:r>
        <w:rPr>
          <w:sz w:val="20"/>
          <w:szCs w:val="20"/>
        </w:rPr>
        <w:t>NSF</w:t>
      </w:r>
      <w:r>
        <w:rPr>
          <w:sz w:val="20"/>
          <w:szCs w:val="20"/>
        </w:rPr>
        <w:tab/>
        <w:t>7/1/00-6/30/05</w:t>
      </w:r>
      <w:r w:rsidR="004B6E4C">
        <w:rPr>
          <w:sz w:val="20"/>
          <w:szCs w:val="20"/>
        </w:rPr>
        <w:tab/>
      </w:r>
    </w:p>
    <w:p w14:paraId="52CD5EAC" w14:textId="7E39739A" w:rsidR="004B6E4C" w:rsidRPr="00A74BAA" w:rsidRDefault="0042055E" w:rsidP="004B6E4C">
      <w:pPr>
        <w:tabs>
          <w:tab w:val="left" w:pos="5040"/>
          <w:tab w:val="left" w:pos="6660"/>
          <w:tab w:val="left" w:pos="7560"/>
        </w:tabs>
        <w:rPr>
          <w:sz w:val="20"/>
          <w:szCs w:val="20"/>
        </w:rPr>
      </w:pPr>
      <w:r>
        <w:rPr>
          <w:sz w:val="20"/>
          <w:szCs w:val="20"/>
        </w:rPr>
        <w:t>Persistent Archiv</w:t>
      </w:r>
      <w:r w:rsidR="004B6E4C">
        <w:rPr>
          <w:sz w:val="20"/>
          <w:szCs w:val="20"/>
        </w:rPr>
        <w:t>e</w:t>
      </w:r>
      <w:r w:rsidR="004B6E4C">
        <w:rPr>
          <w:sz w:val="20"/>
          <w:szCs w:val="20"/>
        </w:rPr>
        <w:tab/>
      </w:r>
      <w:r w:rsidR="00014E3B" w:rsidRPr="00A74BAA">
        <w:rPr>
          <w:sz w:val="20"/>
          <w:szCs w:val="20"/>
        </w:rPr>
        <w:t>NARA</w:t>
      </w:r>
      <w:r w:rsidR="00014E3B" w:rsidRPr="00A74BAA">
        <w:rPr>
          <w:sz w:val="20"/>
          <w:szCs w:val="20"/>
        </w:rPr>
        <w:tab/>
        <w:t>9/99-8/00</w:t>
      </w:r>
      <w:r w:rsidR="00014E3B" w:rsidRPr="00A74BAA">
        <w:rPr>
          <w:sz w:val="20"/>
          <w:szCs w:val="20"/>
        </w:rPr>
        <w:tab/>
      </w:r>
      <w:r w:rsidR="00014E3B" w:rsidRPr="00A74BAA">
        <w:rPr>
          <w:sz w:val="20"/>
          <w:szCs w:val="20"/>
        </w:rPr>
        <w:tab/>
      </w:r>
    </w:p>
    <w:p w14:paraId="2BB5D8C2" w14:textId="4BB4D8A4" w:rsidR="004B6E4C" w:rsidRPr="00A74BAA" w:rsidRDefault="004B6E4C" w:rsidP="004B6E4C">
      <w:pPr>
        <w:tabs>
          <w:tab w:val="left" w:pos="5040"/>
          <w:tab w:val="left" w:pos="6660"/>
          <w:tab w:val="left" w:pos="7560"/>
        </w:tabs>
        <w:rPr>
          <w:sz w:val="20"/>
          <w:szCs w:val="20"/>
        </w:rPr>
      </w:pPr>
      <w:r>
        <w:rPr>
          <w:sz w:val="20"/>
          <w:szCs w:val="20"/>
        </w:rPr>
        <w:t>Digital Library Initiative UCSB</w:t>
      </w:r>
      <w:r>
        <w:rPr>
          <w:sz w:val="20"/>
          <w:szCs w:val="20"/>
        </w:rPr>
        <w:tab/>
      </w:r>
      <w:r w:rsidR="00014E3B">
        <w:rPr>
          <w:sz w:val="20"/>
          <w:szCs w:val="20"/>
        </w:rPr>
        <w:t>NSF</w:t>
      </w:r>
      <w:r w:rsidR="00014E3B">
        <w:rPr>
          <w:sz w:val="20"/>
          <w:szCs w:val="20"/>
        </w:rPr>
        <w:tab/>
        <w:t>9/1/99-8/31/04</w:t>
      </w:r>
      <w:r w:rsidR="00014E3B" w:rsidRPr="00A74BAA">
        <w:rPr>
          <w:sz w:val="20"/>
          <w:szCs w:val="20"/>
        </w:rPr>
        <w:tab/>
      </w:r>
    </w:p>
    <w:p w14:paraId="7A495002" w14:textId="680276E8" w:rsidR="004B6E4C" w:rsidRPr="00A74BAA" w:rsidRDefault="00014E3B" w:rsidP="004B6E4C">
      <w:pPr>
        <w:tabs>
          <w:tab w:val="left" w:pos="5040"/>
          <w:tab w:val="left" w:pos="6660"/>
          <w:tab w:val="left" w:pos="7560"/>
        </w:tabs>
        <w:rPr>
          <w:sz w:val="20"/>
          <w:szCs w:val="20"/>
        </w:rPr>
      </w:pPr>
      <w:r w:rsidRPr="00A74BAA">
        <w:rPr>
          <w:sz w:val="20"/>
          <w:szCs w:val="20"/>
        </w:rPr>
        <w:t>Digi</w:t>
      </w:r>
      <w:r w:rsidR="004B6E4C">
        <w:rPr>
          <w:sz w:val="20"/>
          <w:szCs w:val="20"/>
        </w:rPr>
        <w:t>tal Library Initiative Stanford</w:t>
      </w:r>
      <w:r w:rsidR="004B6E4C">
        <w:rPr>
          <w:sz w:val="20"/>
          <w:szCs w:val="20"/>
        </w:rPr>
        <w:tab/>
      </w:r>
      <w:r>
        <w:rPr>
          <w:sz w:val="20"/>
          <w:szCs w:val="20"/>
        </w:rPr>
        <w:t>NSF</w:t>
      </w:r>
      <w:r>
        <w:rPr>
          <w:sz w:val="20"/>
          <w:szCs w:val="20"/>
        </w:rPr>
        <w:tab/>
        <w:t>9/1/99-8/31/04</w:t>
      </w:r>
      <w:r w:rsidRPr="00A74BAA">
        <w:rPr>
          <w:sz w:val="20"/>
          <w:szCs w:val="20"/>
        </w:rPr>
        <w:tab/>
      </w:r>
    </w:p>
    <w:p w14:paraId="698F4C25" w14:textId="68F5F0EC" w:rsidR="004B6E4C" w:rsidRDefault="004B6E4C" w:rsidP="004B6E4C">
      <w:pPr>
        <w:tabs>
          <w:tab w:val="left" w:pos="5040"/>
          <w:tab w:val="left" w:pos="6660"/>
          <w:tab w:val="left" w:pos="7560"/>
        </w:tabs>
        <w:rPr>
          <w:sz w:val="20"/>
          <w:szCs w:val="20"/>
        </w:rPr>
      </w:pPr>
      <w:r>
        <w:rPr>
          <w:sz w:val="20"/>
          <w:szCs w:val="20"/>
        </w:rPr>
        <w:t>Information Power Grid</w:t>
      </w:r>
      <w:r>
        <w:rPr>
          <w:sz w:val="20"/>
          <w:szCs w:val="20"/>
        </w:rPr>
        <w:tab/>
      </w:r>
      <w:r w:rsidR="00014E3B" w:rsidRPr="00A74BAA">
        <w:rPr>
          <w:sz w:val="20"/>
          <w:szCs w:val="20"/>
        </w:rPr>
        <w:t>NASA</w:t>
      </w:r>
      <w:r w:rsidR="00014E3B" w:rsidRPr="00A74BAA">
        <w:rPr>
          <w:sz w:val="20"/>
          <w:szCs w:val="20"/>
        </w:rPr>
        <w:tab/>
        <w:t>10/1/98-9/30/99</w:t>
      </w:r>
      <w:r w:rsidR="00014E3B" w:rsidRPr="00A74BAA">
        <w:rPr>
          <w:sz w:val="20"/>
          <w:szCs w:val="20"/>
        </w:rPr>
        <w:tab/>
      </w:r>
    </w:p>
    <w:p w14:paraId="3969052D" w14:textId="445919B2" w:rsidR="004B6E4C" w:rsidRPr="00A74BAA" w:rsidRDefault="004B6E4C" w:rsidP="004B6E4C">
      <w:pPr>
        <w:tabs>
          <w:tab w:val="left" w:pos="5040"/>
          <w:tab w:val="left" w:pos="6660"/>
          <w:tab w:val="left" w:pos="7560"/>
        </w:tabs>
        <w:rPr>
          <w:sz w:val="20"/>
          <w:szCs w:val="20"/>
        </w:rPr>
      </w:pPr>
      <w:r>
        <w:rPr>
          <w:sz w:val="20"/>
          <w:szCs w:val="20"/>
        </w:rPr>
        <w:t>Persistent Archive</w:t>
      </w:r>
      <w:r>
        <w:rPr>
          <w:sz w:val="20"/>
          <w:szCs w:val="20"/>
        </w:rPr>
        <w:tab/>
      </w:r>
      <w:r w:rsidR="00014E3B">
        <w:rPr>
          <w:sz w:val="20"/>
          <w:szCs w:val="20"/>
        </w:rPr>
        <w:t>NARA</w:t>
      </w:r>
      <w:r w:rsidR="00014E3B">
        <w:rPr>
          <w:sz w:val="20"/>
          <w:szCs w:val="20"/>
        </w:rPr>
        <w:tab/>
        <w:t>9/98-8/99</w:t>
      </w:r>
      <w:r w:rsidR="00014E3B">
        <w:rPr>
          <w:sz w:val="20"/>
          <w:szCs w:val="20"/>
        </w:rPr>
        <w:tab/>
      </w:r>
      <w:r w:rsidR="00014E3B">
        <w:rPr>
          <w:sz w:val="20"/>
          <w:szCs w:val="20"/>
        </w:rPr>
        <w:tab/>
      </w:r>
    </w:p>
    <w:p w14:paraId="0CF8721B" w14:textId="51AA9998" w:rsidR="004B6E4C" w:rsidRDefault="0042055E" w:rsidP="004B6E4C">
      <w:pPr>
        <w:tabs>
          <w:tab w:val="left" w:pos="5040"/>
          <w:tab w:val="left" w:pos="6660"/>
          <w:tab w:val="left" w:pos="7560"/>
        </w:tabs>
        <w:rPr>
          <w:sz w:val="20"/>
          <w:szCs w:val="20"/>
        </w:rPr>
      </w:pPr>
      <w:r>
        <w:rPr>
          <w:sz w:val="20"/>
          <w:szCs w:val="20"/>
        </w:rPr>
        <w:t>NPACI data m</w:t>
      </w:r>
      <w:r w:rsidR="004B6E4C">
        <w:rPr>
          <w:sz w:val="20"/>
          <w:szCs w:val="20"/>
        </w:rPr>
        <w:t>an</w:t>
      </w:r>
      <w:r>
        <w:rPr>
          <w:sz w:val="20"/>
          <w:szCs w:val="20"/>
        </w:rPr>
        <w:t>a</w:t>
      </w:r>
      <w:r w:rsidR="004B6E4C">
        <w:rPr>
          <w:sz w:val="20"/>
          <w:szCs w:val="20"/>
        </w:rPr>
        <w:t>gement</w:t>
      </w:r>
      <w:r w:rsidR="004B6E4C">
        <w:rPr>
          <w:sz w:val="20"/>
          <w:szCs w:val="20"/>
        </w:rPr>
        <w:tab/>
      </w:r>
      <w:r w:rsidR="00014E3B" w:rsidRPr="00A74BAA">
        <w:rPr>
          <w:sz w:val="20"/>
          <w:szCs w:val="20"/>
        </w:rPr>
        <w:t>NSF</w:t>
      </w:r>
      <w:r w:rsidR="00014E3B" w:rsidRPr="00A74BAA">
        <w:rPr>
          <w:sz w:val="20"/>
          <w:szCs w:val="20"/>
        </w:rPr>
        <w:tab/>
        <w:t>10/1/</w:t>
      </w:r>
      <w:r w:rsidR="00014E3B">
        <w:rPr>
          <w:sz w:val="20"/>
          <w:szCs w:val="20"/>
        </w:rPr>
        <w:t>97-9/30/99</w:t>
      </w:r>
      <w:r w:rsidR="00014E3B">
        <w:rPr>
          <w:sz w:val="20"/>
          <w:szCs w:val="20"/>
        </w:rPr>
        <w:tab/>
      </w:r>
    </w:p>
    <w:p w14:paraId="323E38B9" w14:textId="5B699C67" w:rsidR="0042055E" w:rsidRPr="00A74BAA" w:rsidRDefault="0042055E" w:rsidP="0042055E">
      <w:pPr>
        <w:tabs>
          <w:tab w:val="left" w:pos="5040"/>
          <w:tab w:val="left" w:pos="6660"/>
          <w:tab w:val="left" w:pos="7560"/>
        </w:tabs>
        <w:rPr>
          <w:sz w:val="20"/>
          <w:szCs w:val="20"/>
        </w:rPr>
      </w:pPr>
      <w:r>
        <w:rPr>
          <w:sz w:val="20"/>
          <w:szCs w:val="20"/>
        </w:rPr>
        <w:t>DOE ASCI</w:t>
      </w:r>
      <w:r>
        <w:rPr>
          <w:sz w:val="20"/>
          <w:szCs w:val="20"/>
        </w:rPr>
        <w:tab/>
      </w:r>
      <w:r w:rsidR="00014E3B">
        <w:rPr>
          <w:sz w:val="20"/>
          <w:szCs w:val="20"/>
        </w:rPr>
        <w:t>DOE</w:t>
      </w:r>
      <w:r w:rsidR="00014E3B">
        <w:rPr>
          <w:sz w:val="20"/>
          <w:szCs w:val="20"/>
        </w:rPr>
        <w:tab/>
        <w:t>10/1/97-9/30/99</w:t>
      </w:r>
      <w:r w:rsidR="00014E3B">
        <w:rPr>
          <w:sz w:val="20"/>
          <w:szCs w:val="20"/>
        </w:rPr>
        <w:tab/>
      </w:r>
    </w:p>
    <w:p w14:paraId="1812CC8E" w14:textId="7991AEE6" w:rsidR="0042055E" w:rsidRPr="00A74BAA" w:rsidRDefault="00014E3B" w:rsidP="0042055E">
      <w:pPr>
        <w:tabs>
          <w:tab w:val="left" w:pos="5040"/>
          <w:tab w:val="left" w:pos="6660"/>
          <w:tab w:val="left" w:pos="7560"/>
        </w:tabs>
        <w:rPr>
          <w:sz w:val="20"/>
          <w:szCs w:val="20"/>
        </w:rPr>
      </w:pPr>
      <w:r w:rsidRPr="00A74BAA">
        <w:rPr>
          <w:sz w:val="20"/>
          <w:szCs w:val="20"/>
        </w:rPr>
        <w:t>Distrib</w:t>
      </w:r>
      <w:r w:rsidR="0042055E">
        <w:rPr>
          <w:sz w:val="20"/>
          <w:szCs w:val="20"/>
        </w:rPr>
        <w:t>uted Object Computation Testbed</w:t>
      </w:r>
      <w:r w:rsidR="0042055E">
        <w:rPr>
          <w:sz w:val="20"/>
          <w:szCs w:val="20"/>
        </w:rPr>
        <w:tab/>
      </w:r>
      <w:r w:rsidRPr="00A74BAA">
        <w:rPr>
          <w:sz w:val="20"/>
          <w:szCs w:val="20"/>
        </w:rPr>
        <w:t>DARPA</w:t>
      </w:r>
      <w:r w:rsidR="00951562">
        <w:rPr>
          <w:sz w:val="20"/>
          <w:szCs w:val="20"/>
        </w:rPr>
        <w:t>/USPTO</w:t>
      </w:r>
      <w:r w:rsidRPr="00A74BAA">
        <w:rPr>
          <w:sz w:val="20"/>
          <w:szCs w:val="20"/>
        </w:rPr>
        <w:t xml:space="preserve"> </w:t>
      </w:r>
      <w:r>
        <w:rPr>
          <w:sz w:val="20"/>
          <w:szCs w:val="20"/>
        </w:rPr>
        <w:tab/>
      </w:r>
      <w:r w:rsidRPr="00A74BAA">
        <w:rPr>
          <w:sz w:val="20"/>
          <w:szCs w:val="20"/>
        </w:rPr>
        <w:t>8/1/96-12/31/99</w:t>
      </w:r>
      <w:r>
        <w:rPr>
          <w:sz w:val="20"/>
          <w:szCs w:val="20"/>
        </w:rPr>
        <w:tab/>
      </w:r>
    </w:p>
    <w:p w14:paraId="243E11AB" w14:textId="3FA9D48B" w:rsidR="00014E3B" w:rsidRPr="00A74BAA" w:rsidRDefault="0042055E" w:rsidP="0042055E">
      <w:pPr>
        <w:tabs>
          <w:tab w:val="left" w:pos="5040"/>
          <w:tab w:val="left" w:pos="6660"/>
          <w:tab w:val="left" w:pos="7560"/>
        </w:tabs>
        <w:rPr>
          <w:sz w:val="20"/>
          <w:szCs w:val="20"/>
        </w:rPr>
      </w:pPr>
      <w:r>
        <w:rPr>
          <w:sz w:val="20"/>
          <w:szCs w:val="20"/>
        </w:rPr>
        <w:t>Massive Data Analysis Systems</w:t>
      </w:r>
      <w:r>
        <w:rPr>
          <w:sz w:val="20"/>
          <w:szCs w:val="20"/>
        </w:rPr>
        <w:tab/>
      </w:r>
      <w:r w:rsidR="00014E3B" w:rsidRPr="00A74BAA">
        <w:rPr>
          <w:sz w:val="20"/>
          <w:szCs w:val="20"/>
        </w:rPr>
        <w:t xml:space="preserve">DARPA </w:t>
      </w:r>
      <w:r w:rsidR="00014E3B">
        <w:rPr>
          <w:sz w:val="20"/>
          <w:szCs w:val="20"/>
        </w:rPr>
        <w:tab/>
      </w:r>
      <w:r w:rsidR="00014E3B" w:rsidRPr="00A74BAA">
        <w:rPr>
          <w:sz w:val="20"/>
          <w:szCs w:val="20"/>
        </w:rPr>
        <w:t>9/1/95</w:t>
      </w:r>
      <w:r w:rsidR="00014E3B">
        <w:rPr>
          <w:sz w:val="20"/>
          <w:szCs w:val="20"/>
        </w:rPr>
        <w:t>-8/31/96</w:t>
      </w:r>
    </w:p>
    <w:p w14:paraId="320177B8" w14:textId="77777777" w:rsidR="002A1EFB" w:rsidRDefault="002A1EFB" w:rsidP="00014E3B"/>
    <w:p w14:paraId="7D5A9D6A" w14:textId="3469F984" w:rsidR="002A1EFB" w:rsidRPr="00014E3B" w:rsidRDefault="002A1EFB" w:rsidP="002A1EFB">
      <w:pPr>
        <w:rPr>
          <w:b/>
        </w:rPr>
      </w:pPr>
      <w:r w:rsidRPr="00014E3B">
        <w:rPr>
          <w:b/>
        </w:rPr>
        <w:t>References:</w:t>
      </w:r>
    </w:p>
    <w:p w14:paraId="074DE83E" w14:textId="77777777" w:rsidR="00677AB5" w:rsidRPr="00677AB5" w:rsidRDefault="008D11F3" w:rsidP="00677AB5">
      <w:pPr>
        <w:pStyle w:val="ListParagraph"/>
        <w:numPr>
          <w:ilvl w:val="0"/>
          <w:numId w:val="5"/>
        </w:numPr>
      </w:pPr>
      <w:r w:rsidRPr="00677AB5">
        <w:t>Frank Davis, William Farrell, Jim Gray, Roberto Mechoso, Reagan Moore, Stephanie Sides, Michael Stonebraker, “EOSDIS Alternative Architecture”, Submitted to HAIS, 1994.</w:t>
      </w:r>
    </w:p>
    <w:p w14:paraId="2A1185FE" w14:textId="77777777" w:rsidR="00677AB5" w:rsidRPr="00E76BA2" w:rsidRDefault="00677AB5" w:rsidP="00677AB5">
      <w:pPr>
        <w:pStyle w:val="ListParagraph"/>
        <w:numPr>
          <w:ilvl w:val="0"/>
          <w:numId w:val="5"/>
        </w:numPr>
      </w:pPr>
      <w:r w:rsidRPr="00677AB5">
        <w:t>Reagan Moore</w:t>
      </w:r>
      <w:r w:rsidRPr="00677AB5">
        <w:rPr>
          <w:rFonts w:cs="Courier"/>
        </w:rPr>
        <w:t xml:space="preserve">, "Distributing Applications Across Wide Area Networks", General Atomics </w:t>
      </w:r>
      <w:r w:rsidRPr="00E76BA2">
        <w:rPr>
          <w:rFonts w:cs="Courier"/>
        </w:rPr>
        <w:t xml:space="preserve">Technical Report GA-A20074, May 1990. </w:t>
      </w:r>
    </w:p>
    <w:p w14:paraId="1855F378" w14:textId="7D4E2CB9" w:rsidR="002A1EFB" w:rsidRPr="00E76BA2" w:rsidRDefault="002A1EFB" w:rsidP="00677AB5">
      <w:pPr>
        <w:pStyle w:val="ListParagraph"/>
        <w:numPr>
          <w:ilvl w:val="0"/>
          <w:numId w:val="5"/>
        </w:numPr>
      </w:pPr>
      <w:r w:rsidRPr="00E76BA2">
        <w:rPr>
          <w:rFonts w:cs="Courier"/>
        </w:rPr>
        <w:lastRenderedPageBreak/>
        <w:t>Reagan Moore, Chaitanya Baru, Richard Frost, Richard Marciano, Arcot Rajasekar and Michael Wan},  “MDAS - A Massive Data Analysis System”, In Proceedings of Interface97 Symposium, 1997.</w:t>
      </w:r>
    </w:p>
    <w:p w14:paraId="226A9ED7" w14:textId="5816CE24" w:rsidR="00D13569" w:rsidRPr="00E76BA2" w:rsidRDefault="00280DC5" w:rsidP="00D13569">
      <w:pPr>
        <w:pStyle w:val="Listnumbered"/>
        <w:numPr>
          <w:ilvl w:val="0"/>
          <w:numId w:val="5"/>
        </w:numPr>
        <w:tabs>
          <w:tab w:val="left" w:pos="540"/>
        </w:tabs>
        <w:rPr>
          <w:rFonts w:asciiTheme="minorHAnsi" w:hAnsiTheme="minorHAnsi"/>
          <w:sz w:val="24"/>
          <w:szCs w:val="24"/>
        </w:rPr>
      </w:pPr>
      <w:r>
        <w:rPr>
          <w:rFonts w:asciiTheme="minorHAnsi" w:hAnsiTheme="minorHAnsi"/>
          <w:sz w:val="24"/>
        </w:rPr>
        <w:t xml:space="preserve">Chaitanya Baru, Reagan </w:t>
      </w:r>
      <w:r w:rsidR="00D13569" w:rsidRPr="00E76BA2">
        <w:rPr>
          <w:rFonts w:asciiTheme="minorHAnsi" w:hAnsiTheme="minorHAnsi"/>
          <w:sz w:val="24"/>
        </w:rPr>
        <w:t>Moore, A</w:t>
      </w:r>
      <w:r>
        <w:rPr>
          <w:rFonts w:asciiTheme="minorHAnsi" w:hAnsiTheme="minorHAnsi"/>
          <w:sz w:val="24"/>
        </w:rPr>
        <w:t>rcot Rajasekar, Michael</w:t>
      </w:r>
      <w:r w:rsidR="00D13569" w:rsidRPr="00E76BA2">
        <w:rPr>
          <w:rFonts w:asciiTheme="minorHAnsi" w:hAnsiTheme="minorHAnsi"/>
          <w:sz w:val="24"/>
        </w:rPr>
        <w:t xml:space="preserve"> Wan, "The SDSC Storage Resource Broker,” </w:t>
      </w:r>
      <w:r w:rsidR="00D13569" w:rsidRPr="00E76BA2">
        <w:rPr>
          <w:rFonts w:asciiTheme="minorHAnsi" w:hAnsiTheme="minorHAnsi"/>
          <w:sz w:val="24"/>
          <w:szCs w:val="24"/>
        </w:rPr>
        <w:t>Proc. CASCON'98 Conference, Nov.30-Dec.3, 1998, Toronto, Canada, p. 5.</w:t>
      </w:r>
    </w:p>
    <w:p w14:paraId="2DE17902" w14:textId="66E12DF0" w:rsidR="00481667" w:rsidRPr="00E76BA2" w:rsidRDefault="00481667" w:rsidP="00677AB5">
      <w:pPr>
        <w:pStyle w:val="ListParagraph"/>
        <w:numPr>
          <w:ilvl w:val="0"/>
          <w:numId w:val="5"/>
        </w:numPr>
      </w:pPr>
      <w:r w:rsidRPr="00E76BA2">
        <w:rPr>
          <w:rFonts w:cs="Courier"/>
        </w:rPr>
        <w:t>B. Aiken, J. Strassner, B. Carpenter, I. Foster, C. Lynch, J. Mambretti, R. Moore, B. Teigelbaum, “</w:t>
      </w:r>
      <w:r w:rsidR="00230C9E" w:rsidRPr="00E76BA2">
        <w:rPr>
          <w:rFonts w:cs="Courier"/>
        </w:rPr>
        <w:t>Network Policy and Services: A Report of a Workshop on Middleware”, The Internet Society, 2000.</w:t>
      </w:r>
    </w:p>
    <w:p w14:paraId="3AA03E68" w14:textId="4EFF17D9" w:rsidR="00E533C0" w:rsidRDefault="00E533C0" w:rsidP="00677AB5">
      <w:pPr>
        <w:pStyle w:val="ListParagraph"/>
        <w:numPr>
          <w:ilvl w:val="0"/>
          <w:numId w:val="5"/>
        </w:numPr>
      </w:pPr>
      <w:r w:rsidRPr="00E76BA2">
        <w:t>Reagan Moore, Chaitan Baru, Arcot Rajasekar, Bertram Ludaescher, Richard Marciano, Michael Wan, Wayne Schroeder, Arcot Rajasekar, “Collection-based Persistent Digital Archives – Part 2”, D-Lib Magazine, April 2000.</w:t>
      </w:r>
    </w:p>
    <w:p w14:paraId="2A71AA69" w14:textId="6F09EB04" w:rsidR="00E30504" w:rsidRPr="00E76BA2" w:rsidRDefault="00E30504" w:rsidP="00677AB5">
      <w:pPr>
        <w:pStyle w:val="ListParagraph"/>
        <w:numPr>
          <w:ilvl w:val="0"/>
          <w:numId w:val="5"/>
        </w:numPr>
      </w:pPr>
      <w:r>
        <w:t>Reagan Moore, Chaitan, Baru, Arcot Rajasekar, Bertram Ludaescher, Richard Marciano, Michael Wan, Wayne Schroeder, Amarnath Gupta, “Collection-Based Persistent Digital Archives – Part 1”, D-Lib Magazine, April, 2000.</w:t>
      </w:r>
    </w:p>
    <w:p w14:paraId="0AF0AC56" w14:textId="5B418C33" w:rsidR="00170212" w:rsidRDefault="00280DC5" w:rsidP="00170212">
      <w:pPr>
        <w:numPr>
          <w:ilvl w:val="0"/>
          <w:numId w:val="5"/>
        </w:numPr>
        <w:tabs>
          <w:tab w:val="left" w:pos="540"/>
        </w:tabs>
      </w:pPr>
      <w:r>
        <w:t xml:space="preserve">Reagan Moore, </w:t>
      </w:r>
      <w:r w:rsidR="00170212" w:rsidRPr="00E76BA2">
        <w:t>“The San Diego Project:  Persistent Objects,” Archivi &amp; Computer, Automazione E Beni Culturali, l’Archivio Storico Comunale di San Miniato, Pisa, Italy, February, 2003.</w:t>
      </w:r>
    </w:p>
    <w:p w14:paraId="25C00C6F" w14:textId="10BCC34E" w:rsidR="00F34E35" w:rsidRPr="00E76BA2" w:rsidRDefault="00F34E35" w:rsidP="00F34E35">
      <w:pPr>
        <w:numPr>
          <w:ilvl w:val="0"/>
          <w:numId w:val="5"/>
        </w:numPr>
        <w:tabs>
          <w:tab w:val="left" w:pos="540"/>
          <w:tab w:val="left" w:pos="6480"/>
        </w:tabs>
        <w:rPr>
          <w:color w:val="000000"/>
        </w:rPr>
      </w:pPr>
      <w:bookmarkStart w:id="1" w:name="OLE_LINK5"/>
      <w:r>
        <w:rPr>
          <w:color w:val="000000"/>
        </w:rPr>
        <w:t>Reagan Moore</w:t>
      </w:r>
      <w:r w:rsidRPr="00E76BA2">
        <w:rPr>
          <w:color w:val="000000"/>
        </w:rPr>
        <w:t>, “Towards a Theor</w:t>
      </w:r>
      <w:r>
        <w:rPr>
          <w:color w:val="000000"/>
        </w:rPr>
        <w:t>y of Digital Preservation”, IJDL</w:t>
      </w:r>
      <w:r w:rsidRPr="00E76BA2">
        <w:rPr>
          <w:color w:val="000000"/>
        </w:rPr>
        <w:t xml:space="preserve"> Volume 3, Issue 1, </w:t>
      </w:r>
      <w:r>
        <w:rPr>
          <w:color w:val="000000"/>
        </w:rPr>
        <w:t xml:space="preserve">pp. 63-75, </w:t>
      </w:r>
      <w:r w:rsidRPr="00E76BA2">
        <w:rPr>
          <w:color w:val="000000"/>
        </w:rPr>
        <w:t>August 2008.</w:t>
      </w:r>
    </w:p>
    <w:p w14:paraId="2A1C4AFD" w14:textId="298E35D6" w:rsidR="00F012A2" w:rsidRPr="00E76BA2" w:rsidRDefault="00280DC5" w:rsidP="00F012A2">
      <w:pPr>
        <w:widowControl w:val="0"/>
        <w:numPr>
          <w:ilvl w:val="0"/>
          <w:numId w:val="5"/>
        </w:numPr>
        <w:tabs>
          <w:tab w:val="left" w:pos="540"/>
        </w:tabs>
        <w:autoSpaceDE w:val="0"/>
        <w:autoSpaceDN w:val="0"/>
        <w:adjustRightInd w:val="0"/>
        <w:rPr>
          <w:color w:val="000000"/>
        </w:rPr>
      </w:pPr>
      <w:r>
        <w:rPr>
          <w:rFonts w:eastAsia="Times New Roman"/>
          <w:color w:val="000000"/>
        </w:rPr>
        <w:t>Arcot Rajasekar, Michael Wan, Reagan Moore, Wayne</w:t>
      </w:r>
      <w:r w:rsidR="00F012A2" w:rsidRPr="00E76BA2">
        <w:rPr>
          <w:rFonts w:eastAsia="Times New Roman"/>
          <w:color w:val="000000"/>
        </w:rPr>
        <w:t xml:space="preserve"> Schroeder, “A Prototype Rule-based Distributed Data Management System”, HPDC workshop on “Next Generation Distributed Data Management”, May 2006, Paris, France.</w:t>
      </w:r>
    </w:p>
    <w:bookmarkEnd w:id="1"/>
    <w:p w14:paraId="0031A0C1" w14:textId="38AB43EB" w:rsidR="00170212" w:rsidRPr="00E76BA2" w:rsidRDefault="006170F7" w:rsidP="00677AB5">
      <w:pPr>
        <w:pStyle w:val="ListParagraph"/>
        <w:numPr>
          <w:ilvl w:val="0"/>
          <w:numId w:val="5"/>
        </w:numPr>
      </w:pPr>
      <w:r w:rsidRPr="00E76BA2">
        <w:t xml:space="preserve">Reagan Moore, “Automating Data Curation Processes”, NSF Curating for Quality Workshop, September 11, 2012, Arlington, </w:t>
      </w:r>
      <w:r w:rsidR="00847C0B" w:rsidRPr="00E76BA2">
        <w:t>Virg</w:t>
      </w:r>
      <w:r w:rsidR="00847C0B">
        <w:t>i</w:t>
      </w:r>
      <w:r w:rsidR="00847C0B" w:rsidRPr="00E76BA2">
        <w:t>nia</w:t>
      </w:r>
      <w:r w:rsidRPr="00E76BA2">
        <w:t>.</w:t>
      </w:r>
    </w:p>
    <w:p w14:paraId="4C7C5679" w14:textId="3CECD704" w:rsidR="00E76BA2" w:rsidRPr="00E76BA2" w:rsidRDefault="00280DC5" w:rsidP="00E76BA2">
      <w:pPr>
        <w:numPr>
          <w:ilvl w:val="0"/>
          <w:numId w:val="5"/>
        </w:numPr>
        <w:tabs>
          <w:tab w:val="left" w:pos="540"/>
        </w:tabs>
      </w:pPr>
      <w:r>
        <w:t>Reagan Moore,</w:t>
      </w:r>
      <w:r w:rsidR="00E76BA2" w:rsidRPr="00E76BA2">
        <w:t xml:space="preserve"> “Knowledge-based Grids,” Proceedings of the 18</w:t>
      </w:r>
      <w:r w:rsidR="00E76BA2" w:rsidRPr="00E76BA2">
        <w:rPr>
          <w:vertAlign w:val="superscript"/>
        </w:rPr>
        <w:t>th</w:t>
      </w:r>
      <w:r w:rsidR="00E76BA2" w:rsidRPr="00E76BA2">
        <w:t xml:space="preserve"> IEEE Symposium on Mass Storage Systems and Ninth Goddard Conference on Mass Storage Systems and Technologies, San Diego, April 2001.</w:t>
      </w:r>
    </w:p>
    <w:p w14:paraId="1CD7AFEC" w14:textId="7DCC4E82" w:rsidR="00CB5221" w:rsidRPr="009012FE" w:rsidRDefault="00280DC5" w:rsidP="00CA5CEB">
      <w:pPr>
        <w:numPr>
          <w:ilvl w:val="0"/>
          <w:numId w:val="5"/>
        </w:numPr>
        <w:tabs>
          <w:tab w:val="left" w:pos="540"/>
          <w:tab w:val="left" w:pos="6480"/>
        </w:tabs>
        <w:rPr>
          <w:color w:val="000000"/>
        </w:rPr>
      </w:pPr>
      <w:r>
        <w:rPr>
          <w:rFonts w:ascii="Times New Roman" w:hAnsi="Times New Roman"/>
          <w:color w:val="000000"/>
        </w:rPr>
        <w:t>Arcot Rajasekar, Michael Wan, Reagan Moore, Wayne Schroeder, Sheau-Yen Chen, Lucas Gilbert, Chien-Yi Hou, Christopher Lee, Richard Marciano, Paul</w:t>
      </w:r>
      <w:r w:rsidR="00CB5221">
        <w:rPr>
          <w:rFonts w:ascii="Times New Roman" w:hAnsi="Times New Roman"/>
          <w:color w:val="000000"/>
        </w:rPr>
        <w:t xml:space="preserve"> Toob</w:t>
      </w:r>
      <w:r>
        <w:rPr>
          <w:rFonts w:ascii="Times New Roman" w:hAnsi="Times New Roman"/>
          <w:color w:val="000000"/>
        </w:rPr>
        <w:t xml:space="preserve">y, </w:t>
      </w:r>
      <w:r w:rsidRPr="009012FE">
        <w:rPr>
          <w:color w:val="000000"/>
        </w:rPr>
        <w:t>Antoine de Torcy, Bing</w:t>
      </w:r>
      <w:r w:rsidR="00CB5221" w:rsidRPr="009012FE">
        <w:rPr>
          <w:color w:val="000000"/>
        </w:rPr>
        <w:t xml:space="preserve"> Zhu, “iRODS Primer: Integrated Rule-Oriented Data System”, Morgan &amp; Claypool, 2010.</w:t>
      </w:r>
    </w:p>
    <w:p w14:paraId="49382E30" w14:textId="1F3EB8B3" w:rsidR="00E9275E" w:rsidRDefault="001E5EBE" w:rsidP="009012FE">
      <w:pPr>
        <w:pStyle w:val="ListParagraph"/>
        <w:numPr>
          <w:ilvl w:val="0"/>
          <w:numId w:val="5"/>
        </w:numPr>
        <w:rPr>
          <w:color w:val="000000"/>
        </w:rPr>
      </w:pPr>
      <w:r>
        <w:rPr>
          <w:color w:val="000000"/>
        </w:rPr>
        <w:t>R. Moore</w:t>
      </w:r>
      <w:r w:rsidRPr="009012FE">
        <w:rPr>
          <w:color w:val="000000"/>
        </w:rPr>
        <w:t>., A. Rajasekar, “Reproducible Research within the DataNet Federation Consortium”, I</w:t>
      </w:r>
      <w:r>
        <w:rPr>
          <w:color w:val="000000"/>
        </w:rPr>
        <w:t>nternational Environmental Mode</w:t>
      </w:r>
      <w:r w:rsidRPr="009012FE">
        <w:rPr>
          <w:color w:val="000000"/>
        </w:rPr>
        <w:t>ling and Software Society 7</w:t>
      </w:r>
      <w:r w:rsidRPr="00CA5CEB">
        <w:rPr>
          <w:color w:val="000000"/>
          <w:vertAlign w:val="superscript"/>
        </w:rPr>
        <w:t>th</w:t>
      </w:r>
      <w:r w:rsidRPr="00E9275E">
        <w:rPr>
          <w:color w:val="000000"/>
        </w:rPr>
        <w:t xml:space="preserve"> International</w:t>
      </w:r>
      <w:r>
        <w:rPr>
          <w:color w:val="000000"/>
        </w:rPr>
        <w:t xml:space="preserve"> Congress on Environmental Mode</w:t>
      </w:r>
      <w:r w:rsidRPr="00E9275E">
        <w:rPr>
          <w:color w:val="000000"/>
        </w:rPr>
        <w:t xml:space="preserve">ling and Software, San Diego, California, June 2014, </w:t>
      </w:r>
      <w:hyperlink r:id="rId25" w:history="1">
        <w:r w:rsidRPr="009012FE">
          <w:rPr>
            <w:rStyle w:val="Hyperlink"/>
          </w:rPr>
          <w:t>http://www.iemss.org/society/index.php/iemss-2014-proceedings</w:t>
        </w:r>
      </w:hyperlink>
      <w:r>
        <w:rPr>
          <w:color w:val="000000"/>
        </w:rPr>
        <w:t>.</w:t>
      </w:r>
    </w:p>
    <w:p w14:paraId="166CFEDB" w14:textId="19C5BE3B" w:rsidR="00E9275E" w:rsidRDefault="008C61CA" w:rsidP="009012FE">
      <w:pPr>
        <w:pStyle w:val="ListParagraph"/>
        <w:numPr>
          <w:ilvl w:val="0"/>
          <w:numId w:val="5"/>
        </w:numPr>
        <w:rPr>
          <w:color w:val="000000"/>
        </w:rPr>
      </w:pPr>
      <w:r>
        <w:rPr>
          <w:color w:val="000000"/>
        </w:rPr>
        <w:t>S. Huang</w:t>
      </w:r>
      <w:r w:rsidR="00E9275E">
        <w:rPr>
          <w:color w:val="000000"/>
        </w:rPr>
        <w:t>, H. Xu, Y. Xin, “A Framework for Integration of Rule-oriented Data Management Policies with Network Policies”, the 3</w:t>
      </w:r>
      <w:r w:rsidR="00E9275E" w:rsidRPr="009012FE">
        <w:rPr>
          <w:color w:val="000000"/>
          <w:vertAlign w:val="superscript"/>
        </w:rPr>
        <w:t>rd</w:t>
      </w:r>
      <w:r w:rsidR="00E9275E">
        <w:rPr>
          <w:color w:val="000000"/>
        </w:rPr>
        <w:t xml:space="preserve"> GENI Research and Educational Experiment Workshop [GREE 2014], Atlanta, GA, March 2014.</w:t>
      </w:r>
    </w:p>
    <w:p w14:paraId="31AFDB08" w14:textId="77777777" w:rsidR="00B7150F" w:rsidRPr="00CA5CEB" w:rsidRDefault="00B7150F" w:rsidP="009012FE">
      <w:pPr>
        <w:pStyle w:val="ListParagraph"/>
        <w:ind w:left="0"/>
      </w:pPr>
    </w:p>
    <w:p w14:paraId="6CE2D108" w14:textId="77777777" w:rsidR="00702A69" w:rsidRPr="009012FE" w:rsidRDefault="00702A69" w:rsidP="009012FE">
      <w:pPr>
        <w:pStyle w:val="ListParagraph"/>
        <w:numPr>
          <w:ilvl w:val="0"/>
          <w:numId w:val="5"/>
        </w:numPr>
      </w:pPr>
      <w:r w:rsidRPr="009012FE">
        <w:br w:type="page"/>
      </w:r>
    </w:p>
    <w:p w14:paraId="41C8FA97" w14:textId="4FF10893" w:rsidR="00014E3B" w:rsidRPr="00014E3B" w:rsidRDefault="00014E3B" w:rsidP="00014E3B">
      <w:pPr>
        <w:rPr>
          <w:b/>
        </w:rPr>
      </w:pPr>
      <w:r w:rsidRPr="00014E3B">
        <w:rPr>
          <w:b/>
        </w:rPr>
        <w:lastRenderedPageBreak/>
        <w:t>Appendix A</w:t>
      </w:r>
    </w:p>
    <w:p w14:paraId="522AA771" w14:textId="77777777" w:rsidR="00014E3B" w:rsidRDefault="00014E3B" w:rsidP="00014E3B"/>
    <w:p w14:paraId="7E5E369F" w14:textId="59E83F90" w:rsidR="00014E3B" w:rsidRDefault="00014E3B" w:rsidP="00014E3B">
      <w:r>
        <w:t>Multiple versions of the SRB and iRODS software were developed:</w:t>
      </w:r>
    </w:p>
    <w:p w14:paraId="1EF79678" w14:textId="77777777" w:rsidR="00827DDE" w:rsidRDefault="00827DDE" w:rsidP="00202464"/>
    <w:p w14:paraId="1A5F8986" w14:textId="5E2B9A6B" w:rsidR="00202464" w:rsidRPr="00014E3B" w:rsidRDefault="00202464" w:rsidP="00202464">
      <w:pPr>
        <w:rPr>
          <w:b/>
        </w:rPr>
      </w:pPr>
      <w:r w:rsidRPr="00014E3B">
        <w:rPr>
          <w:b/>
        </w:rPr>
        <w:t>SRB releases</w:t>
      </w:r>
    </w:p>
    <w:p w14:paraId="36CCFA35" w14:textId="65FB1927" w:rsidR="006E68DB" w:rsidRDefault="006E68DB" w:rsidP="00202464">
      <w:r>
        <w:t>SRB 3.5</w:t>
      </w:r>
      <w:r>
        <w:tab/>
        <w:t>Dec 3, 2007</w:t>
      </w:r>
      <w:r>
        <w:tab/>
      </w:r>
      <w:r>
        <w:tab/>
        <w:t>Bind variables, bulk replication, transfer restart</w:t>
      </w:r>
    </w:p>
    <w:p w14:paraId="229BB061" w14:textId="6E1F0342" w:rsidR="006E68DB" w:rsidRDefault="006E68DB" w:rsidP="00202464">
      <w:r>
        <w:t>SRB 3.4</w:t>
      </w:r>
      <w:r>
        <w:tab/>
        <w:t>Oct 31, 2005</w:t>
      </w:r>
      <w:r>
        <w:tab/>
      </w:r>
      <w:r>
        <w:tab/>
        <w:t>Master/slave MCAT, HDF5 integration</w:t>
      </w:r>
    </w:p>
    <w:p w14:paraId="49CFD250" w14:textId="4D2BC119" w:rsidR="00202464" w:rsidRDefault="006E68DB" w:rsidP="00202464">
      <w:r>
        <w:t>SRB 3.3</w:t>
      </w:r>
      <w:r>
        <w:tab/>
        <w:t>Feb 18, 2005</w:t>
      </w:r>
      <w:r>
        <w:tab/>
      </w:r>
      <w:r>
        <w:tab/>
        <w:t>ACL inheritance, bulk move, GT3 GSI</w:t>
      </w:r>
    </w:p>
    <w:p w14:paraId="50412B50" w14:textId="589248B3" w:rsidR="006E68DB" w:rsidRDefault="006E68DB" w:rsidP="00202464">
      <w:r>
        <w:t>SRB 3.2</w:t>
      </w:r>
      <w:r>
        <w:tab/>
        <w:t>July 2 2004</w:t>
      </w:r>
      <w:r>
        <w:tab/>
      </w:r>
      <w:r>
        <w:tab/>
        <w:t>Client initiated connections, Database access</w:t>
      </w:r>
    </w:p>
    <w:p w14:paraId="714D8E20" w14:textId="459A6C7F" w:rsidR="006E68DB" w:rsidRDefault="006E68DB" w:rsidP="00202464">
      <w:r>
        <w:t>SRB 3.1</w:t>
      </w:r>
      <w:r>
        <w:tab/>
        <w:t>April 19, 2004</w:t>
      </w:r>
      <w:r>
        <w:tab/>
        <w:t>Synchronization, trash can, checksums</w:t>
      </w:r>
    </w:p>
    <w:p w14:paraId="65E8A913" w14:textId="595C1F7E" w:rsidR="00202464" w:rsidRDefault="006E68DB" w:rsidP="00202464">
      <w:r>
        <w:t>SRB 3.0</w:t>
      </w:r>
      <w:r>
        <w:tab/>
        <w:t>Oct 1, 2003</w:t>
      </w:r>
      <w:r>
        <w:tab/>
      </w:r>
      <w:r>
        <w:tab/>
        <w:t>Federation</w:t>
      </w:r>
    </w:p>
    <w:p w14:paraId="2F3B457A" w14:textId="6F93E89C" w:rsidR="00202464" w:rsidRDefault="00202464" w:rsidP="00202464">
      <w:r>
        <w:t>SRB 2.0</w:t>
      </w:r>
      <w:r>
        <w:tab/>
        <w:t>Feb 18, 2003</w:t>
      </w:r>
      <w:r>
        <w:tab/>
      </w:r>
      <w:r>
        <w:tab/>
        <w:t>Parallel I/O, bulk load</w:t>
      </w:r>
      <w:r w:rsidR="006E68DB">
        <w:t>, metadata access control</w:t>
      </w:r>
    </w:p>
    <w:p w14:paraId="6D00D4CB" w14:textId="200441C2" w:rsidR="006E68DB" w:rsidRDefault="006E68DB" w:rsidP="00202464">
      <w:r>
        <w:t>SRB 1.1.8</w:t>
      </w:r>
      <w:r>
        <w:tab/>
      </w:r>
      <w:r w:rsidR="00757DB4">
        <w:t>Dec 15, 2000</w:t>
      </w:r>
      <w:r w:rsidR="00757DB4">
        <w:tab/>
      </w:r>
      <w:r w:rsidR="00757DB4">
        <w:tab/>
      </w:r>
      <w:r>
        <w:t>Encrypted passwords, large file size</w:t>
      </w:r>
    </w:p>
    <w:p w14:paraId="4577637A" w14:textId="0BE8DC11" w:rsidR="006E68DB" w:rsidRDefault="006E68DB" w:rsidP="00202464">
      <w:r>
        <w:t>SRB 1.1.7</w:t>
      </w:r>
      <w:r>
        <w:tab/>
      </w:r>
      <w:r w:rsidR="00A74BAA">
        <w:t>May 2000</w:t>
      </w:r>
      <w:r w:rsidR="00A74BAA">
        <w:tab/>
      </w:r>
      <w:r w:rsidR="00A74BAA">
        <w:tab/>
      </w:r>
      <w:r>
        <w:t>GSI authentication</w:t>
      </w:r>
    </w:p>
    <w:p w14:paraId="1F703502" w14:textId="1908B156" w:rsidR="006E68DB" w:rsidRDefault="00A74BAA" w:rsidP="00202464">
      <w:r>
        <w:t>SRB 1.1.6</w:t>
      </w:r>
      <w:r w:rsidR="006E68DB">
        <w:tab/>
      </w:r>
      <w:r>
        <w:t>Nov 1999</w:t>
      </w:r>
      <w:r>
        <w:tab/>
      </w:r>
      <w:r>
        <w:tab/>
      </w:r>
      <w:r w:rsidR="006E68DB">
        <w:t>Stream support, Oracle support</w:t>
      </w:r>
    </w:p>
    <w:p w14:paraId="5F7AEE3B" w14:textId="649074F9" w:rsidR="006E68DB" w:rsidRDefault="006E68DB" w:rsidP="00202464">
      <w:r>
        <w:t>SRB 1.1.4</w:t>
      </w:r>
      <w:r>
        <w:tab/>
      </w:r>
      <w:r w:rsidR="00A74BAA">
        <w:t>May 1999</w:t>
      </w:r>
      <w:r w:rsidR="00A74BAA">
        <w:tab/>
      </w:r>
      <w:r w:rsidR="00A74BAA">
        <w:tab/>
      </w:r>
      <w:r>
        <w:t>Containers</w:t>
      </w:r>
    </w:p>
    <w:p w14:paraId="7A5EC1B6" w14:textId="1B39CA9F" w:rsidR="006E68DB" w:rsidRDefault="006E68DB" w:rsidP="00202464">
      <w:r>
        <w:t>SRB 1.1.3</w:t>
      </w:r>
      <w:r>
        <w:tab/>
      </w:r>
      <w:r w:rsidR="00A74BAA">
        <w:t>Feb 1999</w:t>
      </w:r>
      <w:r w:rsidR="00A74BAA">
        <w:tab/>
      </w:r>
      <w:r w:rsidR="00A74BAA">
        <w:tab/>
      </w:r>
      <w:r>
        <w:t>Recursive replication</w:t>
      </w:r>
    </w:p>
    <w:p w14:paraId="203A692B" w14:textId="257EC878" w:rsidR="006E68DB" w:rsidRDefault="006E68DB" w:rsidP="00202464">
      <w:r>
        <w:t>SRB 1.1.2</w:t>
      </w:r>
      <w:r>
        <w:tab/>
      </w:r>
      <w:r w:rsidR="00A74BAA">
        <w:t>Dec 1998</w:t>
      </w:r>
      <w:r w:rsidR="00A74BAA">
        <w:tab/>
      </w:r>
      <w:r w:rsidR="00A74BAA">
        <w:tab/>
      </w:r>
      <w:r>
        <w:t>Monitoring daemon</w:t>
      </w:r>
    </w:p>
    <w:p w14:paraId="5E5B77A2" w14:textId="7609589E" w:rsidR="00757DB4" w:rsidRDefault="00757DB4" w:rsidP="00202464">
      <w:r>
        <w:t>SRB 1.1</w:t>
      </w:r>
      <w:r>
        <w:tab/>
        <w:t>Mar 1998</w:t>
      </w:r>
      <w:r>
        <w:tab/>
      </w:r>
      <w:r>
        <w:tab/>
        <w:t>Query support</w:t>
      </w:r>
    </w:p>
    <w:p w14:paraId="184FA535" w14:textId="5DA177CA" w:rsidR="006E68DB" w:rsidRDefault="006E68DB" w:rsidP="00202464">
      <w:r>
        <w:t>SRB 1.0</w:t>
      </w:r>
      <w:r>
        <w:tab/>
      </w:r>
      <w:r w:rsidR="00A74BAA">
        <w:t>Jan 1998</w:t>
      </w:r>
      <w:r w:rsidR="00841353">
        <w:tab/>
      </w:r>
      <w:r w:rsidR="00841353">
        <w:tab/>
      </w:r>
      <w:r w:rsidR="00827DDE">
        <w:t>Unix commands</w:t>
      </w:r>
    </w:p>
    <w:p w14:paraId="1B543251" w14:textId="77777777" w:rsidR="00827DDE" w:rsidRPr="00014E3B" w:rsidRDefault="00827DDE" w:rsidP="00202464">
      <w:pPr>
        <w:rPr>
          <w:b/>
        </w:rPr>
      </w:pPr>
    </w:p>
    <w:p w14:paraId="081B1429" w14:textId="06BC1B26" w:rsidR="00827DDE" w:rsidRPr="00014E3B" w:rsidRDefault="00827DDE" w:rsidP="00202464">
      <w:pPr>
        <w:rPr>
          <w:b/>
        </w:rPr>
      </w:pPr>
      <w:r w:rsidRPr="00014E3B">
        <w:rPr>
          <w:b/>
        </w:rPr>
        <w:t>iRODS releases</w:t>
      </w:r>
    </w:p>
    <w:p w14:paraId="11E12E5B" w14:textId="1059A296" w:rsidR="00827DDE" w:rsidRDefault="00827DDE" w:rsidP="00202464">
      <w:r>
        <w:t>iRODS 3.3.1</w:t>
      </w:r>
      <w:r>
        <w:tab/>
        <w:t>Feb 24, 2014</w:t>
      </w:r>
      <w:r>
        <w:tab/>
      </w:r>
      <w:r>
        <w:tab/>
        <w:t>SHA2 hash, Rule looping, WSO extensions</w:t>
      </w:r>
    </w:p>
    <w:p w14:paraId="796A3C38" w14:textId="59BF1F75" w:rsidR="00827DDE" w:rsidRDefault="00827DDE" w:rsidP="00202464">
      <w:r>
        <w:t>iRODS 3.3</w:t>
      </w:r>
      <w:r>
        <w:tab/>
        <w:t>July 17, 2013</w:t>
      </w:r>
      <w:r>
        <w:tab/>
      </w:r>
      <w:r>
        <w:tab/>
        <w:t>NetCDF support, HDFS, PAM authentication</w:t>
      </w:r>
    </w:p>
    <w:p w14:paraId="26AE0277" w14:textId="1426AE3A" w:rsidR="00827DDE" w:rsidRDefault="00827DDE" w:rsidP="00202464">
      <w:r>
        <w:t>iRODS 3.2</w:t>
      </w:r>
      <w:r>
        <w:tab/>
        <w:t>Oct 3, 2012</w:t>
      </w:r>
      <w:r>
        <w:tab/>
      </w:r>
      <w:r>
        <w:tab/>
        <w:t>WSO objects, direct access resources</w:t>
      </w:r>
    </w:p>
    <w:p w14:paraId="605998E6" w14:textId="47F86D1B" w:rsidR="00827DDE" w:rsidRDefault="00827DDE" w:rsidP="00202464">
      <w:r>
        <w:t>iRODS 3.1</w:t>
      </w:r>
      <w:r>
        <w:tab/>
        <w:t>March 16, 2012</w:t>
      </w:r>
      <w:r>
        <w:tab/>
        <w:t>Tickets, locks, group-admin</w:t>
      </w:r>
      <w:r w:rsidR="00847C0B">
        <w:t xml:space="preserve"> updates</w:t>
      </w:r>
    </w:p>
    <w:p w14:paraId="4945E61F" w14:textId="63532166" w:rsidR="00827DDE" w:rsidRDefault="00827DDE" w:rsidP="00202464">
      <w:r>
        <w:t>iRODS 3.0</w:t>
      </w:r>
      <w:r>
        <w:tab/>
        <w:t>Sept. 30, 2011</w:t>
      </w:r>
      <w:r>
        <w:tab/>
        <w:t>New rule language, soft links</w:t>
      </w:r>
    </w:p>
    <w:p w14:paraId="033145E9" w14:textId="735910EF" w:rsidR="00827DDE" w:rsidRDefault="00827DDE" w:rsidP="00202464">
      <w:r>
        <w:t>iRODS 2.5</w:t>
      </w:r>
      <w:r>
        <w:tab/>
        <w:t>Feb 24, 2011</w:t>
      </w:r>
      <w:r>
        <w:tab/>
      </w:r>
      <w:r>
        <w:tab/>
        <w:t>Database resources, Fortran I/O library</w:t>
      </w:r>
    </w:p>
    <w:p w14:paraId="45598D37" w14:textId="3AEB895A" w:rsidR="00827DDE" w:rsidRDefault="00827DDE" w:rsidP="00202464">
      <w:r>
        <w:t>iRODS 2.4</w:t>
      </w:r>
      <w:r>
        <w:tab/>
        <w:t>July 23, 2010</w:t>
      </w:r>
      <w:r>
        <w:tab/>
      </w:r>
      <w:r>
        <w:tab/>
        <w:t xml:space="preserve">Bulk upload, monitoring, </w:t>
      </w:r>
    </w:p>
    <w:p w14:paraId="64754CF0" w14:textId="0B7FFC22" w:rsidR="00827DDE" w:rsidRDefault="00827DDE" w:rsidP="00202464">
      <w:r>
        <w:t>iRODS 2.3</w:t>
      </w:r>
      <w:r>
        <w:tab/>
        <w:t>March 12, 2010</w:t>
      </w:r>
      <w:r>
        <w:tab/>
        <w:t>Extensible iCAT, quotas, group</w:t>
      </w:r>
      <w:r w:rsidR="00847C0B">
        <w:t>-</w:t>
      </w:r>
      <w:r>
        <w:t>admin</w:t>
      </w:r>
    </w:p>
    <w:p w14:paraId="77DE0B47" w14:textId="7B6D42B3" w:rsidR="00827DDE" w:rsidRDefault="00827DDE" w:rsidP="00202464">
      <w:r>
        <w:t>iRODS 2.2</w:t>
      </w:r>
      <w:r>
        <w:tab/>
        <w:t>Oct 1, 2009</w:t>
      </w:r>
      <w:r>
        <w:tab/>
      </w:r>
      <w:r>
        <w:tab/>
        <w:t>HPSS driver, S3 driver, compound resource</w:t>
      </w:r>
    </w:p>
    <w:p w14:paraId="7E1AA7AB" w14:textId="6B4BDB96" w:rsidR="00827DDE" w:rsidRDefault="00827DDE" w:rsidP="00202464">
      <w:r>
        <w:t>iRODS 2.1</w:t>
      </w:r>
      <w:r>
        <w:tab/>
        <w:t>July 10, 2009</w:t>
      </w:r>
      <w:r>
        <w:tab/>
      </w:r>
      <w:r>
        <w:tab/>
        <w:t xml:space="preserve">mySQL driver, Kerberos, </w:t>
      </w:r>
      <w:r w:rsidR="00757DB4">
        <w:t xml:space="preserve">policy enforcement </w:t>
      </w:r>
    </w:p>
    <w:p w14:paraId="0F8C7F7A" w14:textId="15B2855E" w:rsidR="00827DDE" w:rsidRDefault="00827DDE" w:rsidP="00202464">
      <w:r>
        <w:t xml:space="preserve">iRODS 2.0 </w:t>
      </w:r>
      <w:r>
        <w:tab/>
        <w:t>Dec 1, 2008</w:t>
      </w:r>
      <w:r w:rsidR="00757DB4">
        <w:tab/>
      </w:r>
      <w:r w:rsidR="00757DB4">
        <w:tab/>
        <w:t>federation, master/slave catalog, bundling</w:t>
      </w:r>
    </w:p>
    <w:p w14:paraId="29565B9F" w14:textId="7CB31FF1" w:rsidR="00827DDE" w:rsidRDefault="00827DDE" w:rsidP="00202464">
      <w:r>
        <w:t>iRODS 1.1</w:t>
      </w:r>
      <w:r>
        <w:tab/>
        <w:t>June 27, 2008</w:t>
      </w:r>
      <w:r w:rsidR="00757DB4">
        <w:tab/>
      </w:r>
      <w:r w:rsidR="00757DB4">
        <w:tab/>
        <w:t>GSI, mounted structured files, HDF5, Jargon</w:t>
      </w:r>
    </w:p>
    <w:p w14:paraId="1CD00432" w14:textId="7EDD549C" w:rsidR="00827DDE" w:rsidRDefault="00827DDE" w:rsidP="00202464">
      <w:r>
        <w:t>iRODS 1.0</w:t>
      </w:r>
      <w:r>
        <w:tab/>
        <w:t>Jan 23, 2008</w:t>
      </w:r>
      <w:r w:rsidR="00757DB4">
        <w:tab/>
      </w:r>
      <w:r w:rsidR="00757DB4">
        <w:tab/>
        <w:t>Oracle driver, FUSE interface, rule language</w:t>
      </w:r>
    </w:p>
    <w:p w14:paraId="23388603" w14:textId="0E86DF12" w:rsidR="00827DDE" w:rsidRDefault="00827DDE" w:rsidP="00202464">
      <w:r>
        <w:t>iRODS 0.9</w:t>
      </w:r>
      <w:r>
        <w:tab/>
        <w:t>June 1, 2007</w:t>
      </w:r>
      <w:r w:rsidR="00757DB4">
        <w:tab/>
      </w:r>
      <w:r w:rsidR="00757DB4">
        <w:tab/>
        <w:t>replication, metadata, trash, integrity checking</w:t>
      </w:r>
    </w:p>
    <w:p w14:paraId="49853301" w14:textId="1A303052" w:rsidR="00014E3B" w:rsidRPr="00014E3B" w:rsidRDefault="00827DDE" w:rsidP="00702A69">
      <w:r>
        <w:t>iRODS 0.5</w:t>
      </w:r>
      <w:r>
        <w:tab/>
        <w:t>Dec 20, 2006</w:t>
      </w:r>
      <w:r w:rsidR="00757DB4">
        <w:tab/>
      </w:r>
      <w:r w:rsidR="00757DB4">
        <w:tab/>
        <w:t>policy</w:t>
      </w:r>
      <w:r w:rsidR="00014E3B">
        <w:t xml:space="preserve"> enforcement points, rule engine</w:t>
      </w:r>
    </w:p>
    <w:sectPr w:rsidR="00014E3B" w:rsidRPr="00014E3B" w:rsidSect="00C11007">
      <w:footerReference w:type="even" r:id="rId26"/>
      <w:foot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7C5CC" w14:textId="77777777" w:rsidR="009F4698" w:rsidRDefault="009F4698" w:rsidP="003961B3">
      <w:r>
        <w:separator/>
      </w:r>
    </w:p>
  </w:endnote>
  <w:endnote w:type="continuationSeparator" w:id="0">
    <w:p w14:paraId="259D7B47" w14:textId="77777777" w:rsidR="009F4698" w:rsidRDefault="009F4698" w:rsidP="0039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ourier">
    <w:panose1 w:val="000000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C9DD" w14:textId="77777777" w:rsidR="009F4698" w:rsidRDefault="009F4698" w:rsidP="003961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1D3A1" w14:textId="77777777" w:rsidR="009F4698" w:rsidRDefault="009F4698" w:rsidP="003961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AE226" w14:textId="77777777" w:rsidR="009F4698" w:rsidRDefault="009F4698" w:rsidP="003961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40F1">
      <w:rPr>
        <w:rStyle w:val="PageNumber"/>
        <w:noProof/>
      </w:rPr>
      <w:t>1</w:t>
    </w:r>
    <w:r>
      <w:rPr>
        <w:rStyle w:val="PageNumber"/>
      </w:rPr>
      <w:fldChar w:fldCharType="end"/>
    </w:r>
  </w:p>
  <w:p w14:paraId="2E1B7FC2" w14:textId="77777777" w:rsidR="009F4698" w:rsidRDefault="009F4698" w:rsidP="003961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6975E" w14:textId="77777777" w:rsidR="009F4698" w:rsidRDefault="009F4698" w:rsidP="003961B3">
      <w:r>
        <w:separator/>
      </w:r>
    </w:p>
  </w:footnote>
  <w:footnote w:type="continuationSeparator" w:id="0">
    <w:p w14:paraId="05A3A065" w14:textId="77777777" w:rsidR="009F4698" w:rsidRDefault="009F4698" w:rsidP="003961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5E6"/>
    <w:multiLevelType w:val="hybridMultilevel"/>
    <w:tmpl w:val="11CC2C0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0CB94CA8"/>
    <w:multiLevelType w:val="hybridMultilevel"/>
    <w:tmpl w:val="F6827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936ED"/>
    <w:multiLevelType w:val="hybridMultilevel"/>
    <w:tmpl w:val="A9F004FE"/>
    <w:lvl w:ilvl="0" w:tplc="36DA5292">
      <w:start w:val="1"/>
      <w:numFmt w:val="decimal"/>
      <w:lvlText w:val="%1."/>
      <w:lvlJc w:val="left"/>
      <w:pPr>
        <w:tabs>
          <w:tab w:val="num" w:pos="380"/>
        </w:tabs>
        <w:ind w:left="38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823E1A"/>
    <w:multiLevelType w:val="hybridMultilevel"/>
    <w:tmpl w:val="7B50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E131E"/>
    <w:multiLevelType w:val="hybridMultilevel"/>
    <w:tmpl w:val="0F6A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721419"/>
    <w:multiLevelType w:val="hybridMultilevel"/>
    <w:tmpl w:val="4D00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053C5"/>
    <w:multiLevelType w:val="hybridMultilevel"/>
    <w:tmpl w:val="05F00C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6C0771"/>
    <w:multiLevelType w:val="hybridMultilevel"/>
    <w:tmpl w:val="5E880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AE6B03"/>
    <w:multiLevelType w:val="hybridMultilevel"/>
    <w:tmpl w:val="3CE2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BC3EEA"/>
    <w:multiLevelType w:val="hybridMultilevel"/>
    <w:tmpl w:val="68B089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F0A2997"/>
    <w:multiLevelType w:val="hybridMultilevel"/>
    <w:tmpl w:val="73B8E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3"/>
  </w:num>
  <w:num w:numId="5">
    <w:abstractNumId w:val="9"/>
  </w:num>
  <w:num w:numId="6">
    <w:abstractNumId w:val="2"/>
  </w:num>
  <w:num w:numId="7">
    <w:abstractNumId w:val="10"/>
  </w:num>
  <w:num w:numId="8">
    <w:abstractNumId w:val="7"/>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899"/>
    <w:rsid w:val="00014E3B"/>
    <w:rsid w:val="00034ACB"/>
    <w:rsid w:val="000418B7"/>
    <w:rsid w:val="0005738F"/>
    <w:rsid w:val="00096E48"/>
    <w:rsid w:val="000F4F18"/>
    <w:rsid w:val="000F5A45"/>
    <w:rsid w:val="001406EB"/>
    <w:rsid w:val="00151FAF"/>
    <w:rsid w:val="00170212"/>
    <w:rsid w:val="001823C7"/>
    <w:rsid w:val="001D0228"/>
    <w:rsid w:val="001D595B"/>
    <w:rsid w:val="001E5EBE"/>
    <w:rsid w:val="00202464"/>
    <w:rsid w:val="002102A1"/>
    <w:rsid w:val="00230C9E"/>
    <w:rsid w:val="00251DE3"/>
    <w:rsid w:val="00280DC5"/>
    <w:rsid w:val="002A1EFB"/>
    <w:rsid w:val="002C47A5"/>
    <w:rsid w:val="002F4C88"/>
    <w:rsid w:val="00315C9A"/>
    <w:rsid w:val="00335F74"/>
    <w:rsid w:val="003450A6"/>
    <w:rsid w:val="003961B3"/>
    <w:rsid w:val="003A3E07"/>
    <w:rsid w:val="003D0101"/>
    <w:rsid w:val="003D4033"/>
    <w:rsid w:val="003F17BF"/>
    <w:rsid w:val="003F69C6"/>
    <w:rsid w:val="0042055E"/>
    <w:rsid w:val="0042366A"/>
    <w:rsid w:val="00423818"/>
    <w:rsid w:val="00433F69"/>
    <w:rsid w:val="004617EC"/>
    <w:rsid w:val="00481667"/>
    <w:rsid w:val="00491DE7"/>
    <w:rsid w:val="00495FF4"/>
    <w:rsid w:val="004B6E4C"/>
    <w:rsid w:val="004D3384"/>
    <w:rsid w:val="004E65B2"/>
    <w:rsid w:val="004F2CD9"/>
    <w:rsid w:val="005124A1"/>
    <w:rsid w:val="00515BD9"/>
    <w:rsid w:val="00520634"/>
    <w:rsid w:val="00562BBD"/>
    <w:rsid w:val="00573DEB"/>
    <w:rsid w:val="005A1D1F"/>
    <w:rsid w:val="00605088"/>
    <w:rsid w:val="00615C30"/>
    <w:rsid w:val="006170F7"/>
    <w:rsid w:val="00665066"/>
    <w:rsid w:val="00677AB5"/>
    <w:rsid w:val="00695CF7"/>
    <w:rsid w:val="006C06FD"/>
    <w:rsid w:val="006C2724"/>
    <w:rsid w:val="006D212B"/>
    <w:rsid w:val="006E68DB"/>
    <w:rsid w:val="006F246F"/>
    <w:rsid w:val="00701AC8"/>
    <w:rsid w:val="00702A69"/>
    <w:rsid w:val="00757DB4"/>
    <w:rsid w:val="00761B02"/>
    <w:rsid w:val="0076420B"/>
    <w:rsid w:val="007671B4"/>
    <w:rsid w:val="007A01A1"/>
    <w:rsid w:val="007A1672"/>
    <w:rsid w:val="007A3572"/>
    <w:rsid w:val="007A7EC2"/>
    <w:rsid w:val="007D6339"/>
    <w:rsid w:val="007F6EBD"/>
    <w:rsid w:val="00827DDE"/>
    <w:rsid w:val="00837813"/>
    <w:rsid w:val="00841353"/>
    <w:rsid w:val="00847C0B"/>
    <w:rsid w:val="008501CA"/>
    <w:rsid w:val="00850AB1"/>
    <w:rsid w:val="00877238"/>
    <w:rsid w:val="008C61CA"/>
    <w:rsid w:val="008D11F3"/>
    <w:rsid w:val="008D7FDD"/>
    <w:rsid w:val="00900D3C"/>
    <w:rsid w:val="009012FE"/>
    <w:rsid w:val="00916C2C"/>
    <w:rsid w:val="00951562"/>
    <w:rsid w:val="00952622"/>
    <w:rsid w:val="0095693B"/>
    <w:rsid w:val="00973F57"/>
    <w:rsid w:val="009E18E6"/>
    <w:rsid w:val="009E5E6A"/>
    <w:rsid w:val="009F4698"/>
    <w:rsid w:val="009F4DE4"/>
    <w:rsid w:val="00A36B5C"/>
    <w:rsid w:val="00A74BAA"/>
    <w:rsid w:val="00AA062E"/>
    <w:rsid w:val="00AB4F49"/>
    <w:rsid w:val="00AB6BC9"/>
    <w:rsid w:val="00AD762D"/>
    <w:rsid w:val="00AE359B"/>
    <w:rsid w:val="00AF6FB2"/>
    <w:rsid w:val="00B12875"/>
    <w:rsid w:val="00B41E37"/>
    <w:rsid w:val="00B7150F"/>
    <w:rsid w:val="00BB1F53"/>
    <w:rsid w:val="00BB5903"/>
    <w:rsid w:val="00BD4402"/>
    <w:rsid w:val="00BE6E6E"/>
    <w:rsid w:val="00BF40F1"/>
    <w:rsid w:val="00BF77F9"/>
    <w:rsid w:val="00C11007"/>
    <w:rsid w:val="00C567C6"/>
    <w:rsid w:val="00CA5CEB"/>
    <w:rsid w:val="00CB1412"/>
    <w:rsid w:val="00CB5221"/>
    <w:rsid w:val="00CD0E5C"/>
    <w:rsid w:val="00CD4626"/>
    <w:rsid w:val="00CE1AA0"/>
    <w:rsid w:val="00CF1B17"/>
    <w:rsid w:val="00D13569"/>
    <w:rsid w:val="00D33B44"/>
    <w:rsid w:val="00D3486D"/>
    <w:rsid w:val="00D449CA"/>
    <w:rsid w:val="00D46734"/>
    <w:rsid w:val="00D57CD5"/>
    <w:rsid w:val="00D60271"/>
    <w:rsid w:val="00D95FD5"/>
    <w:rsid w:val="00E30504"/>
    <w:rsid w:val="00E533C0"/>
    <w:rsid w:val="00E76BA2"/>
    <w:rsid w:val="00E90995"/>
    <w:rsid w:val="00E9275E"/>
    <w:rsid w:val="00E927C4"/>
    <w:rsid w:val="00E9574A"/>
    <w:rsid w:val="00ED0F43"/>
    <w:rsid w:val="00EE6E2F"/>
    <w:rsid w:val="00EF3146"/>
    <w:rsid w:val="00F012A2"/>
    <w:rsid w:val="00F05161"/>
    <w:rsid w:val="00F11F5D"/>
    <w:rsid w:val="00F34E35"/>
    <w:rsid w:val="00F5663C"/>
    <w:rsid w:val="00F85E48"/>
    <w:rsid w:val="00F90E33"/>
    <w:rsid w:val="00FB2F62"/>
    <w:rsid w:val="00FD2899"/>
    <w:rsid w:val="00FE797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0A0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146"/>
    <w:pPr>
      <w:ind w:left="720"/>
      <w:contextualSpacing/>
    </w:pPr>
  </w:style>
  <w:style w:type="paragraph" w:customStyle="1" w:styleId="Listnumbered">
    <w:name w:val="List (numbered)"/>
    <w:basedOn w:val="Normal"/>
    <w:rsid w:val="00D13569"/>
    <w:pPr>
      <w:tabs>
        <w:tab w:val="left" w:pos="720"/>
        <w:tab w:val="left" w:pos="2160"/>
        <w:tab w:val="left" w:pos="5400"/>
        <w:tab w:val="left" w:pos="6300"/>
      </w:tabs>
      <w:autoSpaceDE w:val="0"/>
      <w:autoSpaceDN w:val="0"/>
      <w:spacing w:before="60" w:line="200" w:lineRule="atLeast"/>
      <w:ind w:left="504" w:hanging="504"/>
    </w:pPr>
    <w:rPr>
      <w:rFonts w:ascii="Times" w:eastAsia="Times New Roman" w:hAnsi="Times" w:cs="Times New Roman"/>
      <w:color w:val="000000"/>
      <w:sz w:val="20"/>
      <w:szCs w:val="20"/>
    </w:rPr>
  </w:style>
  <w:style w:type="paragraph" w:styleId="BalloonText">
    <w:name w:val="Balloon Text"/>
    <w:basedOn w:val="Normal"/>
    <w:link w:val="BalloonTextChar"/>
    <w:uiPriority w:val="99"/>
    <w:semiHidden/>
    <w:unhideWhenUsed/>
    <w:rsid w:val="00E53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3C0"/>
    <w:rPr>
      <w:rFonts w:ascii="Lucida Grande" w:hAnsi="Lucida Grande" w:cs="Lucida Grande"/>
      <w:sz w:val="18"/>
      <w:szCs w:val="18"/>
    </w:rPr>
  </w:style>
  <w:style w:type="paragraph" w:styleId="Header">
    <w:name w:val="header"/>
    <w:basedOn w:val="Normal"/>
    <w:link w:val="HeaderChar"/>
    <w:uiPriority w:val="99"/>
    <w:unhideWhenUsed/>
    <w:rsid w:val="003961B3"/>
    <w:pPr>
      <w:tabs>
        <w:tab w:val="center" w:pos="4320"/>
        <w:tab w:val="right" w:pos="8640"/>
      </w:tabs>
    </w:pPr>
  </w:style>
  <w:style w:type="character" w:customStyle="1" w:styleId="HeaderChar">
    <w:name w:val="Header Char"/>
    <w:basedOn w:val="DefaultParagraphFont"/>
    <w:link w:val="Header"/>
    <w:uiPriority w:val="99"/>
    <w:rsid w:val="003961B3"/>
  </w:style>
  <w:style w:type="paragraph" w:styleId="Footer">
    <w:name w:val="footer"/>
    <w:basedOn w:val="Normal"/>
    <w:link w:val="FooterChar"/>
    <w:uiPriority w:val="99"/>
    <w:unhideWhenUsed/>
    <w:rsid w:val="003961B3"/>
    <w:pPr>
      <w:tabs>
        <w:tab w:val="center" w:pos="4320"/>
        <w:tab w:val="right" w:pos="8640"/>
      </w:tabs>
    </w:pPr>
  </w:style>
  <w:style w:type="character" w:customStyle="1" w:styleId="FooterChar">
    <w:name w:val="Footer Char"/>
    <w:basedOn w:val="DefaultParagraphFont"/>
    <w:link w:val="Footer"/>
    <w:uiPriority w:val="99"/>
    <w:rsid w:val="003961B3"/>
  </w:style>
  <w:style w:type="character" w:styleId="PageNumber">
    <w:name w:val="page number"/>
    <w:basedOn w:val="DefaultParagraphFont"/>
    <w:uiPriority w:val="99"/>
    <w:semiHidden/>
    <w:unhideWhenUsed/>
    <w:rsid w:val="003961B3"/>
  </w:style>
  <w:style w:type="paragraph" w:styleId="BodyTextIndent">
    <w:name w:val="Body Text Indent"/>
    <w:basedOn w:val="Normal"/>
    <w:link w:val="BodyTextIndentChar"/>
    <w:rsid w:val="003F17BF"/>
    <w:pPr>
      <w:ind w:firstLine="36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3F17BF"/>
    <w:rPr>
      <w:rFonts w:ascii="Times New Roman" w:eastAsia="Times New Roman" w:hAnsi="Times New Roman" w:cs="Times New Roman"/>
      <w:sz w:val="18"/>
      <w:szCs w:val="20"/>
    </w:rPr>
  </w:style>
  <w:style w:type="character" w:styleId="CommentReference">
    <w:name w:val="annotation reference"/>
    <w:basedOn w:val="DefaultParagraphFont"/>
    <w:uiPriority w:val="99"/>
    <w:semiHidden/>
    <w:unhideWhenUsed/>
    <w:rsid w:val="00F11F5D"/>
    <w:rPr>
      <w:sz w:val="16"/>
      <w:szCs w:val="16"/>
    </w:rPr>
  </w:style>
  <w:style w:type="paragraph" w:styleId="CommentText">
    <w:name w:val="annotation text"/>
    <w:basedOn w:val="Normal"/>
    <w:link w:val="CommentTextChar"/>
    <w:uiPriority w:val="99"/>
    <w:semiHidden/>
    <w:unhideWhenUsed/>
    <w:rsid w:val="00F11F5D"/>
    <w:rPr>
      <w:sz w:val="20"/>
      <w:szCs w:val="20"/>
    </w:rPr>
  </w:style>
  <w:style w:type="character" w:customStyle="1" w:styleId="CommentTextChar">
    <w:name w:val="Comment Text Char"/>
    <w:basedOn w:val="DefaultParagraphFont"/>
    <w:link w:val="CommentText"/>
    <w:uiPriority w:val="99"/>
    <w:semiHidden/>
    <w:rsid w:val="00F11F5D"/>
    <w:rPr>
      <w:sz w:val="20"/>
      <w:szCs w:val="20"/>
    </w:rPr>
  </w:style>
  <w:style w:type="paragraph" w:styleId="CommentSubject">
    <w:name w:val="annotation subject"/>
    <w:basedOn w:val="CommentText"/>
    <w:next w:val="CommentText"/>
    <w:link w:val="CommentSubjectChar"/>
    <w:uiPriority w:val="99"/>
    <w:semiHidden/>
    <w:unhideWhenUsed/>
    <w:rsid w:val="00F11F5D"/>
    <w:rPr>
      <w:b/>
      <w:bCs/>
    </w:rPr>
  </w:style>
  <w:style w:type="character" w:customStyle="1" w:styleId="CommentSubjectChar">
    <w:name w:val="Comment Subject Char"/>
    <w:basedOn w:val="CommentTextChar"/>
    <w:link w:val="CommentSubject"/>
    <w:uiPriority w:val="99"/>
    <w:semiHidden/>
    <w:rsid w:val="00F11F5D"/>
    <w:rPr>
      <w:b/>
      <w:bCs/>
      <w:sz w:val="20"/>
      <w:szCs w:val="20"/>
    </w:rPr>
  </w:style>
  <w:style w:type="paragraph" w:styleId="Revision">
    <w:name w:val="Revision"/>
    <w:hidden/>
    <w:uiPriority w:val="99"/>
    <w:semiHidden/>
    <w:rsid w:val="00F11F5D"/>
  </w:style>
  <w:style w:type="character" w:styleId="Hyperlink">
    <w:name w:val="Hyperlink"/>
    <w:basedOn w:val="DefaultParagraphFont"/>
    <w:uiPriority w:val="99"/>
    <w:unhideWhenUsed/>
    <w:rsid w:val="00CA5C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146"/>
    <w:pPr>
      <w:ind w:left="720"/>
      <w:contextualSpacing/>
    </w:pPr>
  </w:style>
  <w:style w:type="paragraph" w:customStyle="1" w:styleId="Listnumbered">
    <w:name w:val="List (numbered)"/>
    <w:basedOn w:val="Normal"/>
    <w:rsid w:val="00D13569"/>
    <w:pPr>
      <w:tabs>
        <w:tab w:val="left" w:pos="720"/>
        <w:tab w:val="left" w:pos="2160"/>
        <w:tab w:val="left" w:pos="5400"/>
        <w:tab w:val="left" w:pos="6300"/>
      </w:tabs>
      <w:autoSpaceDE w:val="0"/>
      <w:autoSpaceDN w:val="0"/>
      <w:spacing w:before="60" w:line="200" w:lineRule="atLeast"/>
      <w:ind w:left="504" w:hanging="504"/>
    </w:pPr>
    <w:rPr>
      <w:rFonts w:ascii="Times" w:eastAsia="Times New Roman" w:hAnsi="Times" w:cs="Times New Roman"/>
      <w:color w:val="000000"/>
      <w:sz w:val="20"/>
      <w:szCs w:val="20"/>
    </w:rPr>
  </w:style>
  <w:style w:type="paragraph" w:styleId="BalloonText">
    <w:name w:val="Balloon Text"/>
    <w:basedOn w:val="Normal"/>
    <w:link w:val="BalloonTextChar"/>
    <w:uiPriority w:val="99"/>
    <w:semiHidden/>
    <w:unhideWhenUsed/>
    <w:rsid w:val="00E53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3C0"/>
    <w:rPr>
      <w:rFonts w:ascii="Lucida Grande" w:hAnsi="Lucida Grande" w:cs="Lucida Grande"/>
      <w:sz w:val="18"/>
      <w:szCs w:val="18"/>
    </w:rPr>
  </w:style>
  <w:style w:type="paragraph" w:styleId="Header">
    <w:name w:val="header"/>
    <w:basedOn w:val="Normal"/>
    <w:link w:val="HeaderChar"/>
    <w:uiPriority w:val="99"/>
    <w:unhideWhenUsed/>
    <w:rsid w:val="003961B3"/>
    <w:pPr>
      <w:tabs>
        <w:tab w:val="center" w:pos="4320"/>
        <w:tab w:val="right" w:pos="8640"/>
      </w:tabs>
    </w:pPr>
  </w:style>
  <w:style w:type="character" w:customStyle="1" w:styleId="HeaderChar">
    <w:name w:val="Header Char"/>
    <w:basedOn w:val="DefaultParagraphFont"/>
    <w:link w:val="Header"/>
    <w:uiPriority w:val="99"/>
    <w:rsid w:val="003961B3"/>
  </w:style>
  <w:style w:type="paragraph" w:styleId="Footer">
    <w:name w:val="footer"/>
    <w:basedOn w:val="Normal"/>
    <w:link w:val="FooterChar"/>
    <w:uiPriority w:val="99"/>
    <w:unhideWhenUsed/>
    <w:rsid w:val="003961B3"/>
    <w:pPr>
      <w:tabs>
        <w:tab w:val="center" w:pos="4320"/>
        <w:tab w:val="right" w:pos="8640"/>
      </w:tabs>
    </w:pPr>
  </w:style>
  <w:style w:type="character" w:customStyle="1" w:styleId="FooterChar">
    <w:name w:val="Footer Char"/>
    <w:basedOn w:val="DefaultParagraphFont"/>
    <w:link w:val="Footer"/>
    <w:uiPriority w:val="99"/>
    <w:rsid w:val="003961B3"/>
  </w:style>
  <w:style w:type="character" w:styleId="PageNumber">
    <w:name w:val="page number"/>
    <w:basedOn w:val="DefaultParagraphFont"/>
    <w:uiPriority w:val="99"/>
    <w:semiHidden/>
    <w:unhideWhenUsed/>
    <w:rsid w:val="003961B3"/>
  </w:style>
  <w:style w:type="paragraph" w:styleId="BodyTextIndent">
    <w:name w:val="Body Text Indent"/>
    <w:basedOn w:val="Normal"/>
    <w:link w:val="BodyTextIndentChar"/>
    <w:rsid w:val="003F17BF"/>
    <w:pPr>
      <w:ind w:firstLine="36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3F17BF"/>
    <w:rPr>
      <w:rFonts w:ascii="Times New Roman" w:eastAsia="Times New Roman" w:hAnsi="Times New Roman" w:cs="Times New Roman"/>
      <w:sz w:val="18"/>
      <w:szCs w:val="20"/>
    </w:rPr>
  </w:style>
  <w:style w:type="character" w:styleId="CommentReference">
    <w:name w:val="annotation reference"/>
    <w:basedOn w:val="DefaultParagraphFont"/>
    <w:uiPriority w:val="99"/>
    <w:semiHidden/>
    <w:unhideWhenUsed/>
    <w:rsid w:val="00F11F5D"/>
    <w:rPr>
      <w:sz w:val="16"/>
      <w:szCs w:val="16"/>
    </w:rPr>
  </w:style>
  <w:style w:type="paragraph" w:styleId="CommentText">
    <w:name w:val="annotation text"/>
    <w:basedOn w:val="Normal"/>
    <w:link w:val="CommentTextChar"/>
    <w:uiPriority w:val="99"/>
    <w:semiHidden/>
    <w:unhideWhenUsed/>
    <w:rsid w:val="00F11F5D"/>
    <w:rPr>
      <w:sz w:val="20"/>
      <w:szCs w:val="20"/>
    </w:rPr>
  </w:style>
  <w:style w:type="character" w:customStyle="1" w:styleId="CommentTextChar">
    <w:name w:val="Comment Text Char"/>
    <w:basedOn w:val="DefaultParagraphFont"/>
    <w:link w:val="CommentText"/>
    <w:uiPriority w:val="99"/>
    <w:semiHidden/>
    <w:rsid w:val="00F11F5D"/>
    <w:rPr>
      <w:sz w:val="20"/>
      <w:szCs w:val="20"/>
    </w:rPr>
  </w:style>
  <w:style w:type="paragraph" w:styleId="CommentSubject">
    <w:name w:val="annotation subject"/>
    <w:basedOn w:val="CommentText"/>
    <w:next w:val="CommentText"/>
    <w:link w:val="CommentSubjectChar"/>
    <w:uiPriority w:val="99"/>
    <w:semiHidden/>
    <w:unhideWhenUsed/>
    <w:rsid w:val="00F11F5D"/>
    <w:rPr>
      <w:b/>
      <w:bCs/>
    </w:rPr>
  </w:style>
  <w:style w:type="character" w:customStyle="1" w:styleId="CommentSubjectChar">
    <w:name w:val="Comment Subject Char"/>
    <w:basedOn w:val="CommentTextChar"/>
    <w:link w:val="CommentSubject"/>
    <w:uiPriority w:val="99"/>
    <w:semiHidden/>
    <w:rsid w:val="00F11F5D"/>
    <w:rPr>
      <w:b/>
      <w:bCs/>
      <w:sz w:val="20"/>
      <w:szCs w:val="20"/>
    </w:rPr>
  </w:style>
  <w:style w:type="paragraph" w:styleId="Revision">
    <w:name w:val="Revision"/>
    <w:hidden/>
    <w:uiPriority w:val="99"/>
    <w:semiHidden/>
    <w:rsid w:val="00F11F5D"/>
  </w:style>
  <w:style w:type="character" w:styleId="Hyperlink">
    <w:name w:val="Hyperlink"/>
    <w:basedOn w:val="DefaultParagraphFont"/>
    <w:uiPriority w:val="99"/>
    <w:unhideWhenUsed/>
    <w:rsid w:val="00CA5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127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0.png"/><Relationship Id="rId21" Type="http://schemas.openxmlformats.org/officeDocument/2006/relationships/image" Target="media/image7.png"/><Relationship Id="rId22" Type="http://schemas.openxmlformats.org/officeDocument/2006/relationships/image" Target="media/image70.png"/><Relationship Id="rId23" Type="http://schemas.openxmlformats.org/officeDocument/2006/relationships/image" Target="media/image8.png"/><Relationship Id="rId24" Type="http://schemas.openxmlformats.org/officeDocument/2006/relationships/image" Target="media/image80.png"/><Relationship Id="rId25" Type="http://schemas.openxmlformats.org/officeDocument/2006/relationships/hyperlink" Target="http://www.iemss.org/society/index.php/iemss-2014-proceedings"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CCEB1-1B99-C74B-8106-6CC2A86B0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8451</Words>
  <Characters>48172</Characters>
  <Application>Microsoft Macintosh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UNC-CH</Company>
  <LinksUpToDate>false</LinksUpToDate>
  <CharactersWithSpaces>56510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Reagan Moore</dc:creator>
  <cp:lastModifiedBy>William Beeler</cp:lastModifiedBy>
  <cp:revision>2</cp:revision>
  <dcterms:created xsi:type="dcterms:W3CDTF">2014-09-04T18:21:00Z</dcterms:created>
  <dcterms:modified xsi:type="dcterms:W3CDTF">2014-09-04T18:21:00Z</dcterms:modified>
</cp:coreProperties>
</file>